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1"/>
        <w:ind/>
        <w:contextualSpacing w:val="1"/>
        <w:rPr>
          <w:sz w:val="28"/>
        </w:rPr>
      </w:pPr>
      <w:bookmarkStart w:id="1" w:name="_Hlk233689679"/>
      <w:bookmarkEnd w:id="1"/>
    </w:p>
    <w:p w14:paraId="05000000">
      <w:pPr>
        <w:widowControl w:val="1"/>
        <w:ind w:firstLine="709" w:left="6236"/>
        <w:contextualSpacing w:val="1"/>
        <w:jc w:val="left"/>
        <w:rPr>
          <w:sz w:val="28"/>
        </w:rPr>
      </w:pPr>
      <w:r>
        <w:rPr>
          <w:sz w:val="28"/>
        </w:rPr>
        <w:t xml:space="preserve">Приложение </w:t>
      </w:r>
    </w:p>
    <w:p w14:paraId="06000000">
      <w:pPr>
        <w:widowControl w:val="1"/>
        <w:ind w:firstLine="709" w:left="6236"/>
        <w:contextualSpacing w:val="1"/>
        <w:jc w:val="left"/>
        <w:rPr>
          <w:sz w:val="28"/>
        </w:rPr>
      </w:pPr>
      <w:r>
        <w:rPr>
          <w:sz w:val="28"/>
        </w:rPr>
        <w:t xml:space="preserve">к постановлению </w:t>
      </w:r>
    </w:p>
    <w:p w14:paraId="07000000">
      <w:pPr>
        <w:widowControl w:val="1"/>
        <w:ind w:firstLine="709" w:left="6236"/>
        <w:contextualSpacing w:val="1"/>
        <w:jc w:val="left"/>
        <w:rPr>
          <w:sz w:val="28"/>
        </w:rPr>
      </w:pPr>
      <w:r>
        <w:rPr>
          <w:sz w:val="28"/>
        </w:rPr>
        <w:t xml:space="preserve">Правительства </w:t>
      </w:r>
    </w:p>
    <w:p w14:paraId="08000000">
      <w:pPr>
        <w:widowControl w:val="1"/>
        <w:ind w:firstLine="709" w:left="6236"/>
        <w:contextualSpacing w:val="1"/>
        <w:jc w:val="left"/>
        <w:rPr>
          <w:sz w:val="28"/>
        </w:rPr>
      </w:pPr>
      <w:r>
        <w:rPr>
          <w:sz w:val="28"/>
        </w:rPr>
        <w:t>Ростовской области</w:t>
      </w:r>
    </w:p>
    <w:p w14:paraId="09000000">
      <w:pPr>
        <w:widowControl w:val="1"/>
        <w:ind w:firstLine="709" w:left="6236"/>
        <w:contextualSpacing w:val="1"/>
        <w:jc w:val="left"/>
        <w:rPr>
          <w:sz w:val="28"/>
        </w:rPr>
      </w:pPr>
      <w:r>
        <w:rPr>
          <w:sz w:val="28"/>
        </w:rPr>
        <w:t>от __.__. 2026 № _____</w:t>
      </w:r>
    </w:p>
    <w:p w14:paraId="0A000000">
      <w:pPr>
        <w:widowControl w:val="1"/>
        <w:ind w:firstLine="709"/>
        <w:contextualSpacing w:val="1"/>
        <w:jc w:val="right"/>
        <w:rPr>
          <w:sz w:val="20"/>
        </w:rPr>
      </w:pPr>
    </w:p>
    <w:p w14:paraId="0B000000">
      <w:pPr>
        <w:widowControl w:val="1"/>
        <w:ind w:firstLine="709"/>
        <w:contextualSpacing w:val="1"/>
        <w:jc w:val="both"/>
        <w:rPr>
          <w:sz w:val="28"/>
        </w:rPr>
      </w:pPr>
    </w:p>
    <w:p w14:paraId="0C000000">
      <w:pPr>
        <w:widowControl w:val="1"/>
        <w:ind w:firstLine="709"/>
        <w:contextualSpacing w:val="1"/>
        <w:jc w:val="both"/>
        <w:rPr>
          <w:sz w:val="28"/>
        </w:rPr>
      </w:pPr>
    </w:p>
    <w:p w14:paraId="0D000000">
      <w:pPr>
        <w:widowControl w:val="1"/>
        <w:ind w:firstLine="709"/>
        <w:contextualSpacing w:val="1"/>
        <w:jc w:val="both"/>
        <w:rPr>
          <w:sz w:val="28"/>
        </w:rPr>
      </w:pPr>
    </w:p>
    <w:p w14:paraId="0E000000">
      <w:pPr>
        <w:widowControl w:val="1"/>
        <w:ind w:firstLine="709"/>
        <w:jc w:val="center"/>
        <w:rPr>
          <w:b w:val="1"/>
          <w:sz w:val="28"/>
        </w:rPr>
      </w:pPr>
      <w:r>
        <w:rPr>
          <w:b w:val="1"/>
          <w:sz w:val="28"/>
        </w:rPr>
        <w:t xml:space="preserve">ИЗМЕНЕНИЯ В ПРАВИЛА ЗЕМЛЕПОЛЬЗОВАНИЯ И ЗАСТРОЙКИ ЩЕПКИНСКОГО СЕЛЬСКОГО ПОСЕЛЕНИЯ АКСАЙСКОГО </w:t>
      </w:r>
      <w:r>
        <w:rPr>
          <w:b w:val="1"/>
          <w:sz w:val="28"/>
        </w:rPr>
        <w:br/>
      </w:r>
      <w:r>
        <w:rPr>
          <w:b w:val="1"/>
          <w:sz w:val="28"/>
        </w:rPr>
        <w:t xml:space="preserve">РАЙОНА РОСТОВСКОЙ ОБЛАСТИ, УТВЕРЖДЕННЫЕ РЕШЕНИЕМ </w:t>
      </w:r>
      <w:r>
        <w:rPr>
          <w:b w:val="1"/>
          <w:sz w:val="28"/>
        </w:rPr>
        <w:br/>
      </w:r>
      <w:r>
        <w:rPr>
          <w:b w:val="1"/>
          <w:sz w:val="28"/>
        </w:rPr>
        <w:t xml:space="preserve">СОБРАНИЯ ДЕПУТАТОВ ЩЕПКИНСКОГО СЕЛЬСКОГО ПОСЕЛЕНИЯ </w:t>
      </w:r>
      <w:r>
        <w:rPr>
          <w:b w:val="1"/>
          <w:sz w:val="28"/>
        </w:rPr>
        <w:br/>
      </w:r>
      <w:r>
        <w:rPr>
          <w:b w:val="1"/>
          <w:sz w:val="28"/>
        </w:rPr>
        <w:t>ОТ 09.06.2012 № 181</w:t>
      </w:r>
    </w:p>
    <w:p w14:paraId="0F000000">
      <w:pPr>
        <w:widowControl w:val="1"/>
        <w:ind w:firstLine="709"/>
        <w:contextualSpacing w:val="1"/>
        <w:jc w:val="both"/>
        <w:rPr>
          <w:sz w:val="28"/>
        </w:rPr>
      </w:pPr>
    </w:p>
    <w:p w14:paraId="10000000">
      <w:pPr>
        <w:widowControl w:val="1"/>
        <w:ind w:firstLine="709"/>
        <w:contextualSpacing w:val="1"/>
        <w:jc w:val="both"/>
        <w:rPr>
          <w:sz w:val="28"/>
        </w:rPr>
      </w:pPr>
    </w:p>
    <w:p w14:paraId="11000000">
      <w:pPr>
        <w:widowControl w:val="1"/>
        <w:ind w:firstLine="709"/>
        <w:contextualSpacing w:val="1"/>
        <w:jc w:val="both"/>
        <w:rPr>
          <w:sz w:val="28"/>
        </w:rPr>
      </w:pPr>
      <w:r>
        <w:rPr>
          <w:sz w:val="28"/>
        </w:rPr>
        <w:t>1. Главу 1 изложить в редакции:</w:t>
      </w:r>
    </w:p>
    <w:p w14:paraId="12000000">
      <w:pPr>
        <w:widowControl w:val="1"/>
        <w:ind w:firstLine="709"/>
        <w:rPr>
          <w:b w:val="1"/>
          <w:sz w:val="28"/>
        </w:rPr>
      </w:pPr>
    </w:p>
    <w:p w14:paraId="13000000">
      <w:pPr>
        <w:pStyle w:val="Style_2"/>
        <w:widowControl w:val="1"/>
        <w:spacing w:after="0" w:before="0"/>
        <w:ind w:firstLine="0"/>
        <w:jc w:val="center"/>
        <w:rPr>
          <w:rFonts w:ascii="Times New Roman" w:hAnsi="Times New Roman"/>
          <w:b w:val="0"/>
        </w:rPr>
      </w:pPr>
      <w:r>
        <w:rPr>
          <w:rFonts w:ascii="Times New Roman" w:hAnsi="Times New Roman"/>
          <w:b w:val="0"/>
        </w:rPr>
        <w:t>«</w:t>
      </w:r>
      <w:r>
        <w:rPr>
          <w:rFonts w:ascii="Times New Roman" w:hAnsi="Times New Roman"/>
          <w:b w:val="0"/>
          <w:i w:val="0"/>
        </w:rPr>
        <w:t xml:space="preserve">Глава 1. Положение о регулировании землепользования </w:t>
      </w:r>
      <w:r>
        <w:rPr>
          <w:rFonts w:ascii="Times New Roman" w:hAnsi="Times New Roman"/>
          <w:b w:val="0"/>
          <w:i w:val="0"/>
        </w:rPr>
        <w:br/>
      </w:r>
      <w:r>
        <w:rPr>
          <w:rFonts w:ascii="Times New Roman" w:hAnsi="Times New Roman"/>
          <w:b w:val="0"/>
          <w:i w:val="0"/>
        </w:rPr>
        <w:t xml:space="preserve">и застройки на территории Щепкинского сельского поселения </w:t>
      </w:r>
      <w:r>
        <w:rPr>
          <w:rFonts w:ascii="Times New Roman" w:hAnsi="Times New Roman"/>
          <w:b w:val="0"/>
          <w:i w:val="0"/>
        </w:rPr>
        <w:br/>
      </w:r>
      <w:r>
        <w:rPr>
          <w:rFonts w:ascii="Times New Roman" w:hAnsi="Times New Roman"/>
          <w:b w:val="0"/>
          <w:i w:val="0"/>
        </w:rPr>
        <w:t>Аксайского района Ростовской области</w:t>
      </w:r>
    </w:p>
    <w:p w14:paraId="14000000">
      <w:pPr>
        <w:pStyle w:val="Style_3"/>
        <w:widowControl w:val="1"/>
        <w:spacing w:after="0" w:before="0"/>
        <w:ind w:firstLine="0"/>
        <w:jc w:val="center"/>
        <w:rPr>
          <w:rFonts w:ascii="Times New Roman" w:hAnsi="Times New Roman"/>
          <w:b w:val="0"/>
          <w:sz w:val="28"/>
        </w:rPr>
      </w:pPr>
    </w:p>
    <w:p w14:paraId="15000000">
      <w:pPr>
        <w:pStyle w:val="Style_3"/>
        <w:widowControl w:val="1"/>
        <w:spacing w:after="0" w:before="0"/>
        <w:ind w:firstLine="0"/>
        <w:jc w:val="center"/>
        <w:rPr>
          <w:rFonts w:ascii="Times New Roman" w:hAnsi="Times New Roman"/>
          <w:b w:val="0"/>
          <w:sz w:val="28"/>
        </w:rPr>
      </w:pPr>
      <w:r>
        <w:rPr>
          <w:rFonts w:ascii="Times New Roman" w:hAnsi="Times New Roman"/>
          <w:b w:val="0"/>
          <w:sz w:val="28"/>
        </w:rPr>
        <w:t>Статья 1. Основания и цели введения Правил землепользования и застройки</w:t>
      </w:r>
    </w:p>
    <w:p w14:paraId="16000000">
      <w:pPr>
        <w:pStyle w:val="Style_4"/>
        <w:rPr>
          <w:rFonts w:ascii="Times New Roman" w:hAnsi="Times New Roman"/>
          <w:sz w:val="28"/>
        </w:rPr>
      </w:pPr>
    </w:p>
    <w:p w14:paraId="17000000">
      <w:pPr>
        <w:widowControl w:val="1"/>
        <w:ind w:firstLine="709"/>
        <w:jc w:val="both"/>
        <w:rPr>
          <w:sz w:val="28"/>
        </w:rPr>
      </w:pPr>
      <w:r>
        <w:rPr>
          <w:sz w:val="28"/>
        </w:rPr>
        <w:t>1. Правила землепользования и застройки Щепкинского сельского поселения Аксайского района Ростовской области (далее – Правила) – распространяют свое действие на территорию муниципального образования Щепкинское сельское поселение Аксайского района Ростовской области (далее – Щепкинское сельское поселение) и разработаны в соответствии с Градостроительным кодексом Российской Федерации, Земельным кодексом Российской Федерации и иными нормативными правовыми актами Российской Федерации, нормативными правовыми актами Ростовской области, в соответствии с положениями Генерального плана Щепкинского сельского поселения (далее – Генеральный план), а также с учетом положений иных правовых актов и документов, определяющих основные направления социально-экономического и градостроительного развития Щепкинского сельского поселения, охраны его культурного наследия, окружающей среды и рационального использования природных ресурсов.</w:t>
      </w:r>
    </w:p>
    <w:p w14:paraId="18000000">
      <w:pPr>
        <w:widowControl w:val="0"/>
        <w:ind w:firstLine="709"/>
        <w:jc w:val="both"/>
        <w:outlineLvl w:val="1"/>
        <w:rPr>
          <w:sz w:val="28"/>
        </w:rPr>
      </w:pPr>
      <w:r>
        <w:rPr>
          <w:sz w:val="28"/>
        </w:rPr>
        <w:t>2. Правила разработаны в следующих целях:</w:t>
      </w:r>
    </w:p>
    <w:p w14:paraId="19000000">
      <w:pPr>
        <w:widowControl w:val="0"/>
        <w:ind w:firstLine="709"/>
        <w:jc w:val="both"/>
        <w:outlineLvl w:val="1"/>
        <w:rPr>
          <w:sz w:val="28"/>
        </w:rPr>
      </w:pPr>
      <w:r>
        <w:rPr>
          <w:sz w:val="28"/>
        </w:rPr>
        <w:t>1) создания условий для устойчивого развития территории Щепкинского сельского поселения, сохранения окружающей среды и объектов культурного наследия;</w:t>
      </w:r>
    </w:p>
    <w:p w14:paraId="1A000000">
      <w:pPr>
        <w:widowControl w:val="0"/>
        <w:ind w:firstLine="709"/>
        <w:jc w:val="both"/>
        <w:outlineLvl w:val="1"/>
        <w:rPr>
          <w:sz w:val="28"/>
        </w:rPr>
      </w:pPr>
      <w:r>
        <w:rPr>
          <w:sz w:val="28"/>
        </w:rPr>
        <w:t>2) создания условий для планировки территорий Щепкинского сельского поселения;</w:t>
      </w:r>
    </w:p>
    <w:p w14:paraId="1B000000">
      <w:pPr>
        <w:widowControl w:val="0"/>
        <w:ind w:firstLine="709"/>
        <w:jc w:val="both"/>
        <w:outlineLvl w:val="1"/>
        <w:rPr>
          <w:strike w:val="1"/>
          <w:sz w:val="28"/>
        </w:rPr>
      </w:pPr>
      <w:r>
        <w:rPr>
          <w:sz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C000000">
      <w:pPr>
        <w:widowControl w:val="0"/>
        <w:ind w:firstLine="709"/>
        <w:jc w:val="both"/>
        <w:outlineLvl w:val="1"/>
        <w:rPr>
          <w:sz w:val="28"/>
        </w:rPr>
      </w:pPr>
      <w:r>
        <w:rPr>
          <w:sz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D000000">
      <w:pPr>
        <w:widowControl w:val="0"/>
        <w:ind w:firstLine="709"/>
        <w:jc w:val="both"/>
        <w:outlineLvl w:val="1"/>
        <w:rPr>
          <w:sz w:val="28"/>
        </w:rPr>
      </w:pPr>
      <w:r>
        <w:rPr>
          <w:sz w:val="28"/>
        </w:rPr>
        <w:t xml:space="preserve">3. Правила обязательны к исполнению всеми субъектами градостроительных отношений на территории Щепкинского сельского поселения. </w:t>
      </w:r>
    </w:p>
    <w:p w14:paraId="1E000000">
      <w:pPr>
        <w:widowControl w:val="0"/>
        <w:ind w:firstLine="709"/>
        <w:jc w:val="both"/>
        <w:outlineLvl w:val="1"/>
        <w:rPr>
          <w:sz w:val="28"/>
        </w:rPr>
      </w:pPr>
      <w:r>
        <w:rPr>
          <w:sz w:val="28"/>
        </w:rPr>
        <w:t>4. Правила в соответствии с Градостроительным кодексом Российской Федерации, Земельным кодексом Российской Федерации устанавливают порядок регулирования землепользования и застройки территории Щепкинского сельского по</w:t>
      </w:r>
      <w:r>
        <w:rPr>
          <w:rStyle w:val="Style_4_ch"/>
          <w:sz w:val="28"/>
        </w:rPr>
        <w:t>селения, основанный на градостроительном зонировании – делении всей территории Щепкинского сельского поселения на территориальные зоны – и</w:t>
      </w:r>
      <w:r>
        <w:rPr>
          <w:rStyle w:val="Style_4_ch"/>
          <w:sz w:val="28"/>
        </w:rPr>
        <w:t> </w:t>
      </w:r>
      <w:r>
        <w:rPr>
          <w:rStyle w:val="Style_4_ch"/>
          <w:sz w:val="28"/>
        </w:rPr>
        <w:t>установлении для них градостроительных регламентов</w:t>
      </w:r>
      <w:r>
        <w:rPr>
          <w:rStyle w:val="Style_4_ch"/>
          <w:sz w:val="28"/>
        </w:rPr>
        <w:t>.</w:t>
      </w:r>
    </w:p>
    <w:p w14:paraId="1F000000">
      <w:pPr>
        <w:widowControl w:val="0"/>
        <w:ind w:firstLine="709"/>
        <w:jc w:val="both"/>
        <w:outlineLvl w:val="1"/>
        <w:rPr>
          <w:sz w:val="28"/>
        </w:rPr>
      </w:pPr>
      <w:r>
        <w:rPr>
          <w:rStyle w:val="Style_4_ch"/>
          <w:sz w:val="28"/>
        </w:rPr>
        <w:t xml:space="preserve">5. Основным инструментом реализации градостроительной политики в сфере жилищного строительства на территории </w:t>
      </w:r>
      <w:r>
        <w:rPr>
          <w:rStyle w:val="Style_4_ch"/>
          <w:sz w:val="28"/>
        </w:rPr>
        <w:t xml:space="preserve">Щепкинского сельского поселения  </w:t>
      </w:r>
      <w:r>
        <w:rPr>
          <w:rStyle w:val="Style_4_ch"/>
          <w:sz w:val="28"/>
        </w:rPr>
        <w:t>является механизм комплексного развития территории</w:t>
      </w:r>
      <w:r>
        <w:rPr>
          <w:rStyle w:val="Style_4_ch"/>
          <w:sz w:val="28"/>
        </w:rPr>
        <w:t>.</w:t>
      </w:r>
    </w:p>
    <w:p w14:paraId="20000000">
      <w:pPr>
        <w:widowControl w:val="0"/>
        <w:ind w:firstLine="709"/>
        <w:jc w:val="both"/>
        <w:outlineLvl w:val="1"/>
        <w:rPr>
          <w:i w:val="1"/>
          <w:sz w:val="28"/>
        </w:rPr>
      </w:pPr>
    </w:p>
    <w:p w14:paraId="21000000">
      <w:pPr>
        <w:pStyle w:val="Style_2"/>
        <w:widowControl w:val="1"/>
        <w:numPr>
          <w:ilvl w:val="1"/>
          <w:numId w:val="1"/>
        </w:numPr>
        <w:spacing w:after="0" w:before="0"/>
        <w:ind w:firstLine="709" w:left="0"/>
        <w:rPr>
          <w:rFonts w:ascii="Times New Roman" w:hAnsi="Times New Roman"/>
          <w:b w:val="0"/>
        </w:rPr>
      </w:pPr>
      <w:r>
        <w:rPr>
          <w:rFonts w:ascii="Times New Roman" w:hAnsi="Times New Roman"/>
          <w:b w:val="0"/>
          <w:i w:val="0"/>
        </w:rPr>
        <w:t>Статья 2. Основные понятия, используемые в Правилах</w:t>
      </w:r>
      <w:r>
        <w:rPr>
          <w:rFonts w:ascii="Times New Roman" w:hAnsi="Times New Roman"/>
          <w:b w:val="0"/>
        </w:rPr>
        <w:t xml:space="preserve"> </w:t>
      </w:r>
    </w:p>
    <w:p w14:paraId="22000000">
      <w:pPr>
        <w:pStyle w:val="Style_4"/>
        <w:rPr>
          <w:rFonts w:ascii="Times New Roman" w:hAnsi="Times New Roman"/>
          <w:b w:val="0"/>
        </w:rPr>
      </w:pPr>
    </w:p>
    <w:p w14:paraId="23000000">
      <w:pPr>
        <w:widowControl w:val="0"/>
        <w:ind w:firstLine="709"/>
        <w:jc w:val="both"/>
        <w:outlineLvl w:val="1"/>
        <w:rPr>
          <w:sz w:val="28"/>
        </w:rPr>
      </w:pPr>
      <w:r>
        <w:rPr>
          <w:sz w:val="28"/>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24000000">
      <w:pPr>
        <w:widowControl w:val="0"/>
        <w:ind w:firstLine="709"/>
        <w:jc w:val="both"/>
        <w:outlineLvl w:val="1"/>
        <w:rPr>
          <w:sz w:val="28"/>
        </w:rPr>
      </w:pPr>
      <w:r>
        <w:rPr>
          <w:sz w:val="28"/>
        </w:rPr>
        <w:t>2. Кроме того, в Правилах используются следующие понятия:</w:t>
      </w:r>
    </w:p>
    <w:p w14:paraId="25000000">
      <w:pPr>
        <w:pStyle w:val="Style_5"/>
        <w:widowControl w:val="1"/>
        <w:numPr>
          <w:ilvl w:val="0"/>
          <w:numId w:val="2"/>
        </w:numPr>
        <w:spacing w:before="0"/>
        <w:ind w:firstLine="709" w:left="0"/>
        <w:rPr>
          <w:rFonts w:ascii="Times New Roman" w:hAnsi="Times New Roman"/>
          <w:sz w:val="28"/>
        </w:rPr>
      </w:pPr>
      <w:r>
        <w:rPr>
          <w:rFonts w:ascii="Times New Roman" w:hAnsi="Times New Roman"/>
          <w:sz w:val="28"/>
        </w:rPr>
        <w:t>Высота здания, строения, сооружения – вертикальный размер, измеряемый от проектной отметки земли до верхней отметки самого высокого конструктивного элемента здания (парапет кровли; карниз, конек кровли, верх фронтона; купол);</w:t>
      </w:r>
    </w:p>
    <w:p w14:paraId="26000000">
      <w:pPr>
        <w:pStyle w:val="Style_5"/>
        <w:widowControl w:val="1"/>
        <w:numPr>
          <w:ilvl w:val="0"/>
          <w:numId w:val="2"/>
        </w:numPr>
        <w:spacing w:before="0"/>
        <w:ind w:firstLine="709" w:left="0"/>
        <w:rPr>
          <w:rFonts w:ascii="Times New Roman" w:hAnsi="Times New Roman"/>
          <w:sz w:val="28"/>
        </w:rPr>
      </w:pPr>
      <w:r>
        <w:rPr>
          <w:rFonts w:ascii="Times New Roman" w:hAnsi="Times New Roman"/>
          <w:sz w:val="28"/>
        </w:rPr>
        <w:t>Площадка для сбора мусора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14:paraId="27000000">
      <w:pPr>
        <w:pStyle w:val="Style_5"/>
        <w:widowControl w:val="1"/>
        <w:numPr>
          <w:ilvl w:val="0"/>
          <w:numId w:val="2"/>
        </w:numPr>
        <w:spacing w:before="0"/>
        <w:ind w:firstLine="709" w:left="0"/>
        <w:rPr>
          <w:rFonts w:ascii="Times New Roman" w:hAnsi="Times New Roman"/>
          <w:sz w:val="28"/>
        </w:rPr>
      </w:pPr>
      <w:r>
        <w:rPr>
          <w:rFonts w:ascii="Times New Roman" w:hAnsi="Times New Roman"/>
          <w:sz w:val="28"/>
        </w:rPr>
        <w:t>Процент застройки участка – процентное соотношение суммарной площади земельного участка, которая может быть застроена, и общей площади земельного участка;</w:t>
      </w:r>
    </w:p>
    <w:p w14:paraId="28000000">
      <w:pPr>
        <w:pStyle w:val="Style_5"/>
        <w:widowControl w:val="1"/>
        <w:numPr>
          <w:ilvl w:val="0"/>
          <w:numId w:val="2"/>
        </w:numPr>
        <w:spacing w:before="0"/>
        <w:ind w:firstLine="709" w:left="0"/>
        <w:rPr>
          <w:rFonts w:ascii="Times New Roman" w:hAnsi="Times New Roman"/>
          <w:sz w:val="28"/>
        </w:rPr>
      </w:pPr>
      <w:r>
        <w:rPr>
          <w:rFonts w:ascii="Times New Roman" w:hAnsi="Times New Roman"/>
          <w:sz w:val="28"/>
        </w:rPr>
        <w:t>Этажность здания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14:paraId="29000000"/>
    <w:p w14:paraId="2A000000">
      <w:pPr>
        <w:pStyle w:val="Style_2"/>
        <w:widowControl w:val="1"/>
        <w:numPr>
          <w:ilvl w:val="1"/>
          <w:numId w:val="1"/>
        </w:numPr>
        <w:spacing w:after="0" w:before="0"/>
        <w:ind w:firstLine="0" w:left="0"/>
        <w:jc w:val="center"/>
        <w:rPr>
          <w:rFonts w:ascii="Times New Roman" w:hAnsi="Times New Roman"/>
          <w:b w:val="0"/>
          <w:i w:val="0"/>
        </w:rPr>
      </w:pPr>
      <w:r>
        <w:rPr>
          <w:rFonts w:ascii="Times New Roman" w:hAnsi="Times New Roman"/>
          <w:b w:val="0"/>
          <w:i w:val="0"/>
        </w:rPr>
        <w:t xml:space="preserve">Статья 3. Открытость и доступность информации о землепользовании и застройке. </w:t>
      </w:r>
      <w:r>
        <w:rPr>
          <w:rFonts w:ascii="Times New Roman" w:hAnsi="Times New Roman"/>
          <w:b w:val="0"/>
          <w:i w:val="0"/>
        </w:rPr>
        <w:t>Участие граждан в принятии решений по вопросам землепользования и застройки</w:t>
      </w:r>
    </w:p>
    <w:p w14:paraId="2B000000">
      <w:pPr>
        <w:pStyle w:val="Style_4"/>
        <w:rPr>
          <w:rFonts w:ascii="Times New Roman" w:hAnsi="Times New Roman"/>
          <w:b w:val="0"/>
          <w:i w:val="0"/>
        </w:rPr>
      </w:pPr>
    </w:p>
    <w:p w14:paraId="2C000000">
      <w:pPr>
        <w:pStyle w:val="Style_6"/>
        <w:widowControl w:val="1"/>
        <w:tabs>
          <w:tab w:leader="none" w:pos="360" w:val="left"/>
        </w:tabs>
        <w:ind w:left="0"/>
      </w:pPr>
      <w:r>
        <w:t>1. Настоящие Правила являются открытыми для всех физических и юридических лиц.</w:t>
      </w:r>
    </w:p>
    <w:p w14:paraId="2D000000">
      <w:pPr>
        <w:pStyle w:val="Style_6"/>
        <w:widowControl w:val="1"/>
        <w:tabs>
          <w:tab w:leader="none" w:pos="360" w:val="left"/>
        </w:tabs>
        <w:ind w:left="0"/>
      </w:pPr>
      <w:r>
        <w:t>2. 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w:t>
      </w:r>
    </w:p>
    <w:p w14:paraId="2E000000">
      <w:pPr>
        <w:pStyle w:val="Style_6"/>
        <w:widowControl w:val="1"/>
        <w:tabs>
          <w:tab w:leader="none" w:pos="360" w:val="left"/>
        </w:tabs>
        <w:ind w:left="0"/>
      </w:pPr>
      <w:r>
        <w:t>3. Министерство строительства, архитектуры и территориального развития Ростовской области (далее – министерство строительства РО) обеспечивает возможность ознакомления с Правилами путем:</w:t>
      </w:r>
    </w:p>
    <w:p w14:paraId="2F000000">
      <w:pPr>
        <w:pStyle w:val="Style_6"/>
        <w:widowControl w:val="1"/>
        <w:tabs>
          <w:tab w:leader="none" w:pos="851" w:val="left"/>
        </w:tabs>
        <w:ind w:left="0"/>
        <w:contextualSpacing w:val="1"/>
      </w:pPr>
      <w:r>
        <w:t>– размещения Правил на официальном сайте министерства строительства РО в сети «Интернет»;</w:t>
      </w:r>
    </w:p>
    <w:p w14:paraId="30000000">
      <w:pPr>
        <w:pStyle w:val="Style_6"/>
        <w:widowControl w:val="1"/>
        <w:tabs>
          <w:tab w:leader="none" w:pos="851" w:val="left"/>
        </w:tabs>
        <w:ind w:left="0"/>
        <w:contextualSpacing w:val="1"/>
      </w:pPr>
      <w:r>
        <w:t>– обеспечения размещения Правил на официальном сайте Федеральной государственной информационной системы территориального планирования в порядке, установленном законодательством;</w:t>
      </w:r>
    </w:p>
    <w:p w14:paraId="31000000">
      <w:pPr>
        <w:pStyle w:val="Style_6"/>
        <w:widowControl w:val="1"/>
        <w:tabs>
          <w:tab w:leader="none" w:pos="851" w:val="left"/>
        </w:tabs>
        <w:ind w:left="0"/>
        <w:contextualSpacing w:val="1"/>
      </w:pPr>
      <w:r>
        <w:t>– обеспечения предоставления информации, характеризующей условия землепользования и застройки применительно к отдельным земельным участкам, в том числе с использованием сведений, содержащихся в Государственной информационной системы обеспечения градостроительной деятельности Ростовской области, в порядке, установленном законодательством.</w:t>
      </w:r>
    </w:p>
    <w:p w14:paraId="32000000">
      <w:pPr>
        <w:pStyle w:val="Style_6"/>
        <w:widowControl w:val="1"/>
        <w:tabs>
          <w:tab w:leader="none" w:pos="851" w:val="left"/>
        </w:tabs>
        <w:ind w:left="0"/>
        <w:contextualSpacing w:val="1"/>
      </w:pPr>
      <w:r>
        <w:t>4. Администрация Аксайского района обеспечивает возможность ознакомления с Правилами путем размещения Правил на официальном сайте Администрации Аксайского района в сети «Интернет».</w:t>
      </w:r>
    </w:p>
    <w:p w14:paraId="33000000">
      <w:pPr>
        <w:widowControl w:val="0"/>
        <w:tabs>
          <w:tab w:leader="none" w:pos="619" w:val="left"/>
          <w:tab w:leader="none" w:pos="851" w:val="left"/>
        </w:tabs>
        <w:ind w:firstLine="709"/>
        <w:contextualSpacing w:val="1"/>
        <w:jc w:val="both"/>
        <w:rPr>
          <w:sz w:val="28"/>
        </w:rPr>
      </w:pPr>
      <w:r>
        <w:rPr>
          <w:sz w:val="28"/>
        </w:rPr>
        <w:t>5. 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 Ростовской области, нормативными правовыми актами органов местного самоуправления Аксайского района</w:t>
      </w:r>
      <w:r>
        <w:rPr>
          <w:b w:val="1"/>
          <w:sz w:val="28"/>
        </w:rPr>
        <w:t xml:space="preserve"> </w:t>
      </w:r>
      <w:r>
        <w:rPr>
          <w:sz w:val="28"/>
        </w:rPr>
        <w:t>и Щепкинского сельского поселения.</w:t>
      </w:r>
    </w:p>
    <w:p w14:paraId="34000000">
      <w:pPr>
        <w:pStyle w:val="Style_2"/>
        <w:widowControl w:val="1"/>
        <w:numPr>
          <w:ilvl w:val="1"/>
          <w:numId w:val="1"/>
        </w:numPr>
        <w:spacing w:after="0" w:before="0"/>
        <w:ind w:firstLine="709" w:left="0"/>
        <w:jc w:val="both"/>
        <w:rPr>
          <w:rFonts w:ascii="Times New Roman" w:hAnsi="Times New Roman"/>
          <w:sz w:val="24"/>
        </w:rPr>
      </w:pPr>
    </w:p>
    <w:p w14:paraId="35000000">
      <w:pPr>
        <w:pStyle w:val="Style_2"/>
        <w:widowControl w:val="1"/>
        <w:tabs>
          <w:tab w:leader="none" w:pos="0" w:val="left"/>
        </w:tabs>
        <w:spacing w:after="0" w:before="0"/>
        <w:ind w:firstLine="0"/>
        <w:jc w:val="center"/>
        <w:rPr>
          <w:rFonts w:ascii="Times New Roman" w:hAnsi="Times New Roman"/>
          <w:b w:val="0"/>
        </w:rPr>
      </w:pPr>
      <w:r>
        <w:rPr>
          <w:rFonts w:ascii="Times New Roman" w:hAnsi="Times New Roman"/>
          <w:b w:val="0"/>
          <w:i w:val="0"/>
        </w:rPr>
        <w:t xml:space="preserve">Статья 4. Соотношение Правил землепользования и застройки </w:t>
      </w:r>
    </w:p>
    <w:p w14:paraId="36000000">
      <w:pPr>
        <w:pStyle w:val="Style_2"/>
        <w:widowControl w:val="1"/>
        <w:tabs>
          <w:tab w:leader="none" w:pos="0" w:val="left"/>
        </w:tabs>
        <w:spacing w:after="0" w:before="0"/>
        <w:ind w:firstLine="0"/>
        <w:jc w:val="center"/>
        <w:rPr>
          <w:rFonts w:ascii="Times New Roman" w:hAnsi="Times New Roman"/>
          <w:b w:val="0"/>
        </w:rPr>
      </w:pPr>
      <w:r>
        <w:rPr>
          <w:rFonts w:ascii="Times New Roman" w:hAnsi="Times New Roman"/>
          <w:b w:val="0"/>
          <w:i w:val="0"/>
        </w:rPr>
        <w:t>с Генеральным планом поселения и документацией по планировке территории</w:t>
      </w:r>
    </w:p>
    <w:p w14:paraId="37000000">
      <w:pPr>
        <w:pStyle w:val="Style_4"/>
        <w:rPr>
          <w:rFonts w:ascii="Times New Roman" w:hAnsi="Times New Roman"/>
          <w:i w:val="0"/>
        </w:rPr>
      </w:pPr>
    </w:p>
    <w:p w14:paraId="38000000">
      <w:pPr>
        <w:widowControl w:val="1"/>
        <w:ind w:firstLine="709"/>
        <w:jc w:val="both"/>
        <w:rPr>
          <w:sz w:val="28"/>
        </w:rPr>
      </w:pPr>
      <w:r>
        <w:rPr>
          <w:sz w:val="28"/>
        </w:rPr>
        <w:t>1. Правила землепользования и застройки разработаны на основе Генерального плана поселения и не должны ему противоречить.</w:t>
      </w:r>
    </w:p>
    <w:p w14:paraId="39000000">
      <w:pPr>
        <w:widowControl w:val="1"/>
        <w:ind w:firstLine="709"/>
        <w:jc w:val="both"/>
        <w:rPr>
          <w:sz w:val="28"/>
        </w:rPr>
      </w:pPr>
      <w:r>
        <w:rPr>
          <w:sz w:val="28"/>
        </w:rPr>
        <w:t>В случае внесения изменений в Генеральный план поселения соответствующие изменения должны быть внесены в Правила землепользования и застройки.</w:t>
      </w:r>
    </w:p>
    <w:p w14:paraId="3A000000">
      <w:pPr>
        <w:widowControl w:val="1"/>
        <w:ind w:firstLine="709"/>
        <w:jc w:val="both"/>
        <w:rPr>
          <w:sz w:val="28"/>
        </w:rPr>
      </w:pPr>
      <w:r>
        <w:rPr>
          <w:sz w:val="28"/>
        </w:rPr>
        <w:t>2. Документация по планировке территории разрабатывается на основе Генерального плана поселения, настоящих Правил, Нормативов градостроительного проектирования городских округов и поселений Ростовской области и иных нормативных правовых актов Российской Федерации и Ростовской области и не должна им противоречить.</w:t>
      </w:r>
    </w:p>
    <w:p w14:paraId="3B000000">
      <w:pPr>
        <w:widowControl w:val="1"/>
        <w:tabs>
          <w:tab w:leader="none" w:pos="0" w:val="left"/>
        </w:tabs>
        <w:ind w:firstLine="709"/>
        <w:jc w:val="center"/>
        <w:rPr>
          <w:b w:val="1"/>
        </w:rPr>
      </w:pPr>
    </w:p>
    <w:p w14:paraId="3C000000">
      <w:pPr>
        <w:widowControl w:val="0"/>
        <w:ind w:firstLine="0"/>
        <w:jc w:val="center"/>
        <w:outlineLvl w:val="2"/>
        <w:rPr>
          <w:b w:val="0"/>
          <w:sz w:val="28"/>
        </w:rPr>
      </w:pPr>
      <w:r>
        <w:rPr>
          <w:b w:val="0"/>
          <w:sz w:val="28"/>
        </w:rPr>
        <w:t>Статья 5.</w:t>
      </w:r>
      <w:r>
        <w:rPr>
          <w:b w:val="0"/>
          <w:sz w:val="28"/>
        </w:rPr>
        <w:t xml:space="preserve"> </w:t>
      </w:r>
      <w:r>
        <w:rPr>
          <w:b w:val="0"/>
          <w:sz w:val="28"/>
        </w:rPr>
        <w:t>Полномочия Правительства Ростовской области,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w:t>
      </w:r>
    </w:p>
    <w:p w14:paraId="3D000000">
      <w:pPr>
        <w:widowControl w:val="0"/>
        <w:ind w:firstLine="0"/>
        <w:jc w:val="center"/>
        <w:outlineLvl w:val="2"/>
        <w:rPr>
          <w:b w:val="1"/>
          <w:sz w:val="28"/>
        </w:rPr>
      </w:pPr>
    </w:p>
    <w:p w14:paraId="3E000000">
      <w:pPr>
        <w:widowControl w:val="0"/>
        <w:ind w:firstLine="709"/>
        <w:jc w:val="both"/>
        <w:rPr>
          <w:sz w:val="28"/>
        </w:rPr>
      </w:pPr>
      <w:r>
        <w:rPr>
          <w:sz w:val="28"/>
        </w:rPr>
        <w:t>1. К полномочиям Правительства Ростовской области в области регулирования отношений по вопросам землепользования и застройки относятся:</w:t>
      </w:r>
    </w:p>
    <w:p w14:paraId="3F000000">
      <w:pPr>
        <w:widowControl w:val="0"/>
        <w:ind w:firstLine="709"/>
        <w:jc w:val="both"/>
        <w:rPr>
          <w:sz w:val="28"/>
        </w:rPr>
      </w:pPr>
      <w:r>
        <w:rPr>
          <w:sz w:val="28"/>
        </w:rPr>
        <w:t>1) принятие решений о подготовке проекта Правил, принятие решений о подготовке проектов о внесении изменений в Правила, а также утверждение Правил, утверждение изменений в Правила, за исключением полномочий по организации и проведению общественных обсуждений или публичных слушаний;</w:t>
      </w:r>
    </w:p>
    <w:p w14:paraId="40000000">
      <w:pPr>
        <w:widowControl w:val="1"/>
        <w:ind w:firstLine="709"/>
        <w:jc w:val="both"/>
        <w:rPr>
          <w:sz w:val="28"/>
        </w:rPr>
      </w:pPr>
      <w:r>
        <w:rPr>
          <w:sz w:val="28"/>
        </w:rPr>
        <w:t xml:space="preserve">2) принятие решений о комплексном развитии территорий в случаях, указанных в </w:t>
      </w:r>
      <w:r>
        <w:rPr>
          <w:sz w:val="28"/>
        </w:rPr>
        <w:fldChar w:fldCharType="begin"/>
      </w:r>
      <w:r>
        <w:rPr>
          <w:sz w:val="28"/>
        </w:rPr>
        <w:instrText>HYPERLINK "https://login.consultant.ru/link/?req=doc&amp;base=LAW&amp;n=481298&amp;dst=3416&amp;field=134&amp;date=30.04.2025"</w:instrText>
      </w:r>
      <w:r>
        <w:rPr>
          <w:sz w:val="28"/>
        </w:rPr>
        <w:fldChar w:fldCharType="separate"/>
      </w:r>
      <w:r>
        <w:rPr>
          <w:sz w:val="28"/>
        </w:rPr>
        <w:t>пункте 3 части 2 статьи 66</w:t>
      </w:r>
      <w:r>
        <w:rPr>
          <w:sz w:val="28"/>
        </w:rPr>
        <w:fldChar w:fldCharType="end"/>
      </w:r>
      <w:r>
        <w:rPr>
          <w:sz w:val="28"/>
        </w:rPr>
        <w:t xml:space="preserve"> Градостроительного кодекса Российской Федерации, проведение торгов (конкурса или аукциона) в целях заключения договора о комплексном развитии территории, заключение договора о комплексном развитии территории;</w:t>
      </w:r>
    </w:p>
    <w:p w14:paraId="41000000">
      <w:pPr>
        <w:widowControl w:val="0"/>
        <w:ind w:firstLine="709"/>
        <w:jc w:val="both"/>
        <w:rPr>
          <w:sz w:val="28"/>
        </w:rPr>
      </w:pPr>
      <w:r>
        <w:rPr>
          <w:sz w:val="28"/>
        </w:rPr>
        <w:t>3) иные полномочия в соответствии с действующим законодательством.</w:t>
      </w:r>
    </w:p>
    <w:p w14:paraId="42000000">
      <w:pPr>
        <w:widowControl w:val="0"/>
        <w:ind w:firstLine="709"/>
        <w:jc w:val="both"/>
        <w:outlineLvl w:val="2"/>
        <w:rPr>
          <w:sz w:val="28"/>
        </w:rPr>
      </w:pPr>
      <w:r>
        <w:rPr>
          <w:sz w:val="28"/>
        </w:rPr>
        <w:t>2. Комиссия по вопросам градостроительной деятельности при Правительстве Ростовской области (далее – Комиссия) является совещательным коллегиальным органом, созданным в целях обеспечения единообразия подходов по реализации политики в сфере градостроительной деятельности, координации деятельности исполнительных органов Ростовской области, а 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«Город Ростов-на-Дону», «Город Батайск», муниципальных районов «Аксайский район», «Мясниковский район», городского и сельских поселений в их составе в области территориального планирования, градостроительного зонирования и планировки территории, перераспределенных Областным законом от 28.12.2024 № 251-ЗС «О перераспределении отдельных полномочий между органами местного самоуправления и органами государственной власти Ростовской области».</w:t>
      </w:r>
    </w:p>
    <w:p w14:paraId="43000000">
      <w:pPr>
        <w:widowControl w:val="1"/>
        <w:ind w:firstLine="709"/>
        <w:jc w:val="both"/>
        <w:rPr>
          <w:sz w:val="28"/>
        </w:rPr>
      </w:pPr>
      <w:r>
        <w:rPr>
          <w:sz w:val="28"/>
        </w:rPr>
        <w:t>2.1. Состав Комиссии, Положение о Комиссии (задачи, права и регламент работы Комиссии) регулируются постановлением Правительства Ростовской области.</w:t>
      </w:r>
    </w:p>
    <w:p w14:paraId="44000000">
      <w:pPr>
        <w:widowControl w:val="1"/>
        <w:ind w:firstLine="709"/>
        <w:jc w:val="both"/>
        <w:rPr>
          <w:sz w:val="28"/>
        </w:rPr>
      </w:pPr>
      <w:r>
        <w:rPr>
          <w:sz w:val="28"/>
        </w:rPr>
        <w:t>2.2. К полномочиям Комиссии в области регулирования отношений по вопросам землепользования и застройки отно</w:t>
      </w:r>
      <w:bookmarkStart w:id="2" w:name="p0"/>
      <w:bookmarkEnd w:id="2"/>
      <w:r>
        <w:rPr>
          <w:sz w:val="28"/>
        </w:rPr>
        <w:t>сится рассмотрение вопросов о подготовке Правил, внесении в них изменений, а также иные полномочия в соответствии с действующим законодательством.</w:t>
      </w:r>
    </w:p>
    <w:p w14:paraId="45000000">
      <w:pPr>
        <w:widowControl w:val="1"/>
        <w:ind w:firstLine="709"/>
        <w:jc w:val="both"/>
        <w:rPr>
          <w:sz w:val="28"/>
        </w:rPr>
      </w:pPr>
      <w:r>
        <w:rPr>
          <w:sz w:val="28"/>
        </w:rPr>
        <w:t xml:space="preserve">3. Министерство строительства, архитектуры и территориального развития Ростовской области (далее – министерство строительства РО) в области регулирования отношений по вопросам землепользования и застройки осуществляет полномочия, предусмотренные постановлением Правительства Ростовской области от 17.02.2025 № 104 «Об уполномоченных органах». </w:t>
      </w:r>
    </w:p>
    <w:p w14:paraId="46000000">
      <w:pPr>
        <w:widowControl w:val="0"/>
        <w:ind w:firstLine="709"/>
        <w:jc w:val="both"/>
        <w:rPr>
          <w:sz w:val="28"/>
        </w:rPr>
      </w:pPr>
      <w:r>
        <w:rPr>
          <w:sz w:val="28"/>
        </w:rPr>
        <w:t>4. Министерство имущественных и земельных отношений, финансового оздоровления предприятий, организаций Ростовской области в области осуществляет полномочия в области регулирования отношений по вопросам землепользования и застройки, предусмотренные постановлением Правительства Ростовской области от 17.02.2025 № 104 «Об уполномоченных органах».</w:t>
      </w:r>
    </w:p>
    <w:p w14:paraId="47000000">
      <w:pPr>
        <w:widowControl w:val="0"/>
        <w:ind w:firstLine="709"/>
        <w:jc w:val="both"/>
        <w:rPr>
          <w:sz w:val="28"/>
        </w:rPr>
      </w:pPr>
      <w:r>
        <w:rPr>
          <w:sz w:val="28"/>
        </w:rPr>
        <w:t>5. Комиссия по вопросам градостроительного зонирования является постоянно действующим коллегиальным органом при министерстве строительства РО.</w:t>
      </w:r>
    </w:p>
    <w:p w14:paraId="48000000">
      <w:pPr>
        <w:widowControl w:val="0"/>
        <w:ind w:firstLine="709"/>
        <w:jc w:val="both"/>
        <w:rPr>
          <w:sz w:val="28"/>
        </w:rPr>
      </w:pPr>
      <w:r>
        <w:rPr>
          <w:sz w:val="28"/>
        </w:rPr>
        <w:t>5.1. Порядок деятельности комиссии по вопросам градостроительного зонирования определяется нормативным правовым актом министерства строительства РО.</w:t>
      </w:r>
    </w:p>
    <w:p w14:paraId="49000000">
      <w:pPr>
        <w:widowControl w:val="0"/>
        <w:ind w:firstLine="709"/>
        <w:jc w:val="both"/>
        <w:rPr>
          <w:sz w:val="28"/>
        </w:rPr>
      </w:pPr>
      <w:r>
        <w:rPr>
          <w:sz w:val="28"/>
        </w:rPr>
        <w:t>5.2. К полномочиям комиссии по вопросам градостроительного зонирования  в области регулирования отношений по вопросам землепользования и застройки относятся:</w:t>
      </w:r>
    </w:p>
    <w:p w14:paraId="4A000000">
      <w:pPr>
        <w:widowControl w:val="0"/>
        <w:ind w:firstLine="709"/>
        <w:jc w:val="both"/>
        <w:rPr>
          <w:sz w:val="28"/>
        </w:rPr>
      </w:pPr>
      <w:r>
        <w:rPr>
          <w:sz w:val="28"/>
        </w:rPr>
        <w:t>1)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 садовых домов);</w:t>
      </w:r>
    </w:p>
    <w:p w14:paraId="4B000000">
      <w:pPr>
        <w:widowControl w:val="0"/>
        <w:ind w:firstLine="709"/>
        <w:jc w:val="both"/>
        <w:rPr>
          <w:sz w:val="28"/>
        </w:rPr>
      </w:pPr>
      <w:r>
        <w:rPr>
          <w:sz w:val="28"/>
        </w:rPr>
        <w:t>2)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(кроме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целях строительства объектов индивидуального жилищного строительства, садовых домов);</w:t>
      </w:r>
    </w:p>
    <w:p w14:paraId="4C000000">
      <w:pPr>
        <w:widowControl w:val="0"/>
        <w:ind w:firstLine="709"/>
        <w:jc w:val="both"/>
        <w:rPr>
          <w:sz w:val="28"/>
        </w:rPr>
      </w:pPr>
      <w:r>
        <w:rPr>
          <w:sz w:val="28"/>
        </w:rPr>
        <w:t xml:space="preserve"> 3) иные полномочия в соответствии с действующим законодательством.</w:t>
      </w:r>
    </w:p>
    <w:p w14:paraId="4D000000">
      <w:pPr>
        <w:pStyle w:val="Style_2"/>
        <w:widowControl w:val="1"/>
        <w:tabs>
          <w:tab w:leader="none" w:pos="0" w:val="left"/>
        </w:tabs>
        <w:ind w:firstLine="0"/>
        <w:jc w:val="center"/>
        <w:rPr>
          <w:rFonts w:ascii="Times New Roman" w:hAnsi="Times New Roman"/>
          <w:b w:val="0"/>
          <w:i w:val="0"/>
        </w:rPr>
      </w:pPr>
      <w:r>
        <w:rPr>
          <w:rFonts w:ascii="Times New Roman" w:hAnsi="Times New Roman"/>
          <w:b w:val="0"/>
          <w:i w:val="0"/>
        </w:rPr>
        <w:t>Статья 6. Полномочия органов местного самоуправления Аксайского района, Щепкинского сельского поселения в области землепользования и застройки</w:t>
      </w:r>
    </w:p>
    <w:p w14:paraId="4E000000">
      <w:pPr>
        <w:pStyle w:val="Style_4"/>
        <w:rPr>
          <w:rFonts w:ascii="Times New Roman" w:hAnsi="Times New Roman"/>
          <w:b w:val="0"/>
          <w:i w:val="0"/>
        </w:rPr>
      </w:pPr>
    </w:p>
    <w:p w14:paraId="4F000000">
      <w:pPr>
        <w:widowControl w:val="0"/>
        <w:ind w:firstLine="709"/>
        <w:jc w:val="both"/>
        <w:rPr>
          <w:sz w:val="28"/>
        </w:rPr>
      </w:pPr>
      <w:r>
        <w:rPr>
          <w:sz w:val="28"/>
        </w:rPr>
        <w:t>К полномочиям органов местного самоуправления Аксайского района, Щепкинского сельского поселения в соответствии с муниципальными правовыми актами относятся:</w:t>
      </w:r>
    </w:p>
    <w:p w14:paraId="50000000">
      <w:pPr>
        <w:widowControl w:val="0"/>
        <w:ind w:firstLine="709"/>
        <w:jc w:val="both"/>
        <w:outlineLvl w:val="2"/>
        <w:rPr>
          <w:sz w:val="28"/>
        </w:rPr>
      </w:pPr>
      <w:r>
        <w:rPr>
          <w:sz w:val="28"/>
        </w:rPr>
        <w:t>- организация и проведение публичных слушаний, общественных обсуждений, по вопросам, указанным в статье 11 Правил, в случаях, предусмотренных Областным законом от 28.12.2024 № 251-ЗС «О перераспределении отдельных полномочий между органами местного самоуправления и органами государственной власти Ростовской области»;</w:t>
      </w:r>
    </w:p>
    <w:p w14:paraId="51000000">
      <w:pPr>
        <w:widowControl w:val="1"/>
        <w:ind w:firstLine="709"/>
        <w:jc w:val="both"/>
        <w:rPr>
          <w:sz w:val="28"/>
        </w:rPr>
      </w:pPr>
      <w:r>
        <w:rPr>
          <w:sz w:val="28"/>
        </w:rPr>
        <w:t>- управление и распоряжение землями, находящимися в муниципальной собственности, а также земельными участками, государственная собственность на которые не разграничена, в случаях, не относящихся к полномочиям министерства имущественных и земельных отношений, финансового оздоровления предприятий, организаций Ростовской области;</w:t>
      </w:r>
    </w:p>
    <w:p w14:paraId="52000000">
      <w:pPr>
        <w:widowControl w:val="0"/>
        <w:ind w:firstLine="709"/>
        <w:jc w:val="both"/>
        <w:rPr>
          <w:sz w:val="28"/>
        </w:rPr>
      </w:pPr>
      <w:r>
        <w:rPr>
          <w:sz w:val="28"/>
        </w:rPr>
        <w:t>- принятие решений о подготовке документации по планировке территории, предусматривающей размещение линейных объектов, а также обеспечение подготовки и утверждение такой документации;</w:t>
      </w:r>
    </w:p>
    <w:p w14:paraId="53000000">
      <w:pPr>
        <w:widowControl w:val="0"/>
        <w:ind w:firstLine="709"/>
        <w:jc w:val="both"/>
        <w:rPr>
          <w:sz w:val="28"/>
        </w:rPr>
      </w:pPr>
      <w:r>
        <w:rPr>
          <w:sz w:val="28"/>
        </w:rPr>
        <w:t>- утверждение проектов межевания территории, решения о подготовке которых в целях определения местоположения границ образуемых и изменяемых земельных участков приняты до 01.01.2025;</w:t>
      </w:r>
    </w:p>
    <w:p w14:paraId="54000000">
      <w:pPr>
        <w:widowControl w:val="1"/>
        <w:ind w:firstLine="709"/>
        <w:jc w:val="both"/>
        <w:rPr>
          <w:sz w:val="28"/>
        </w:rPr>
      </w:pPr>
      <w:r>
        <w:rPr>
          <w:sz w:val="28"/>
        </w:rPr>
        <w:t>- принятие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 садовых домов;</w:t>
      </w:r>
    </w:p>
    <w:p w14:paraId="55000000">
      <w:pPr>
        <w:widowControl w:val="1"/>
        <w:ind w:firstLine="709"/>
        <w:jc w:val="both"/>
        <w:rPr>
          <w:sz w:val="28"/>
        </w:rPr>
      </w:pPr>
      <w:r>
        <w:rPr>
          <w:sz w:val="28"/>
        </w:rPr>
        <w:t>-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в целях строительства объектов индивидуального жилищного строительства, садовых домов;</w:t>
      </w:r>
    </w:p>
    <w:p w14:paraId="56000000">
      <w:pPr>
        <w:widowControl w:val="0"/>
        <w:ind w:firstLine="709"/>
        <w:jc w:val="both"/>
        <w:rPr>
          <w:sz w:val="28"/>
        </w:rPr>
      </w:pPr>
      <w:r>
        <w:rPr>
          <w:sz w:val="28"/>
        </w:rPr>
        <w:t>- иные полномочия в соответствии с действующим законодательством.</w:t>
      </w:r>
    </w:p>
    <w:p w14:paraId="57000000">
      <w:pPr>
        <w:pStyle w:val="Style_2"/>
        <w:widowControl w:val="1"/>
        <w:tabs>
          <w:tab w:leader="none" w:pos="0" w:val="left"/>
        </w:tabs>
        <w:spacing w:after="0" w:before="0"/>
        <w:ind w:firstLine="709"/>
        <w:jc w:val="both"/>
        <w:rPr>
          <w:rFonts w:ascii="Times New Roman" w:hAnsi="Times New Roman"/>
          <w:i w:val="0"/>
        </w:rPr>
      </w:pPr>
    </w:p>
    <w:p w14:paraId="58000000">
      <w:pPr>
        <w:pStyle w:val="Style_2"/>
        <w:widowControl w:val="1"/>
        <w:tabs>
          <w:tab w:leader="none" w:pos="0" w:val="left"/>
        </w:tabs>
        <w:spacing w:after="0" w:before="0"/>
        <w:ind w:firstLine="709"/>
        <w:jc w:val="both"/>
        <w:rPr>
          <w:rFonts w:ascii="Times New Roman" w:hAnsi="Times New Roman"/>
          <w:b w:val="0"/>
          <w:i w:val="0"/>
        </w:rPr>
      </w:pPr>
      <w:r>
        <w:rPr>
          <w:rFonts w:ascii="Times New Roman" w:hAnsi="Times New Roman"/>
          <w:b w:val="0"/>
          <w:i w:val="0"/>
        </w:rPr>
        <w:t>2. Главу 2 исключить.</w:t>
      </w:r>
    </w:p>
    <w:p w14:paraId="59000000">
      <w:pPr>
        <w:pStyle w:val="Style_7"/>
        <w:widowControl w:val="1"/>
        <w:ind w:firstLine="709" w:right="0"/>
        <w:jc w:val="both"/>
        <w:rPr>
          <w:rFonts w:ascii="Times New Roman" w:hAnsi="Times New Roman"/>
          <w:sz w:val="24"/>
        </w:rPr>
      </w:pPr>
    </w:p>
    <w:p w14:paraId="5A000000">
      <w:pPr>
        <w:widowControl w:val="0"/>
        <w:ind w:firstLine="709"/>
        <w:jc w:val="both"/>
        <w:outlineLvl w:val="3"/>
        <w:rPr>
          <w:sz w:val="28"/>
        </w:rPr>
      </w:pPr>
      <w:r>
        <w:rPr>
          <w:sz w:val="28"/>
        </w:rPr>
        <w:t>3. Главу 3 изложить в редакции:</w:t>
      </w:r>
    </w:p>
    <w:p w14:paraId="5B000000">
      <w:pPr>
        <w:pStyle w:val="Style_7"/>
        <w:widowControl w:val="1"/>
        <w:ind w:firstLine="709" w:right="0"/>
        <w:jc w:val="both"/>
        <w:rPr>
          <w:rFonts w:ascii="Times New Roman" w:hAnsi="Times New Roman"/>
          <w:sz w:val="24"/>
        </w:rPr>
      </w:pPr>
    </w:p>
    <w:p w14:paraId="5C000000">
      <w:pPr>
        <w:pStyle w:val="Style_8"/>
        <w:widowControl w:val="1"/>
        <w:tabs>
          <w:tab w:leader="none" w:pos="0" w:val="left"/>
        </w:tabs>
        <w:spacing w:after="0" w:before="0"/>
        <w:ind w:firstLine="709"/>
        <w:jc w:val="center"/>
        <w:rPr>
          <w:rFonts w:ascii="Times New Roman" w:hAnsi="Times New Roman"/>
          <w:b w:val="0"/>
          <w:sz w:val="28"/>
        </w:rPr>
      </w:pPr>
      <w:r>
        <w:rPr>
          <w:rFonts w:ascii="Times New Roman" w:hAnsi="Times New Roman"/>
          <w:b w:val="0"/>
          <w:sz w:val="28"/>
        </w:rPr>
        <w:t>«Глава 3. Положение о подготовке документации по планировке территории</w:t>
      </w:r>
      <w:r>
        <w:rPr>
          <w:rStyle w:val="Style_9_ch"/>
          <w:rFonts w:ascii="Times New Roman" w:hAnsi="Times New Roman"/>
          <w:b w:val="0"/>
          <w:sz w:val="28"/>
        </w:rPr>
        <w:footnoteReference w:id="1"/>
      </w:r>
      <w:r>
        <w:rPr>
          <w:rFonts w:ascii="Times New Roman" w:hAnsi="Times New Roman"/>
          <w:b w:val="0"/>
          <w:sz w:val="28"/>
        </w:rPr>
        <w:t>.</w:t>
      </w:r>
    </w:p>
    <w:p w14:paraId="5D000000">
      <w:pPr>
        <w:widowControl w:val="1"/>
        <w:ind/>
        <w:jc w:val="center"/>
        <w:rPr>
          <w:b w:val="0"/>
        </w:rPr>
      </w:pPr>
    </w:p>
    <w:p w14:paraId="5E000000">
      <w:pPr>
        <w:pStyle w:val="Style_2"/>
        <w:widowControl w:val="1"/>
        <w:tabs>
          <w:tab w:leader="none" w:pos="0" w:val="left"/>
        </w:tabs>
        <w:spacing w:after="0" w:before="0"/>
        <w:ind w:left="709"/>
        <w:jc w:val="center"/>
        <w:rPr>
          <w:rFonts w:ascii="Times New Roman" w:hAnsi="Times New Roman"/>
          <w:b w:val="0"/>
        </w:rPr>
      </w:pPr>
      <w:r>
        <w:rPr>
          <w:rFonts w:ascii="Times New Roman" w:hAnsi="Times New Roman"/>
          <w:b w:val="0"/>
          <w:i w:val="0"/>
        </w:rPr>
        <w:t>Статья 9. Общие положения о планировке территории.</w:t>
      </w:r>
    </w:p>
    <w:p w14:paraId="5F000000">
      <w:pPr>
        <w:pStyle w:val="Style_4"/>
        <w:rPr>
          <w:rFonts w:ascii="Times New Roman" w:hAnsi="Times New Roman"/>
          <w:b w:val="0"/>
          <w:i w:val="0"/>
        </w:rPr>
      </w:pPr>
    </w:p>
    <w:p w14:paraId="60000000">
      <w:pPr>
        <w:widowControl w:val="0"/>
        <w:ind w:firstLine="709"/>
        <w:jc w:val="both"/>
        <w:outlineLvl w:val="2"/>
        <w:rPr>
          <w:sz w:val="28"/>
        </w:rPr>
      </w:pPr>
      <w:r>
        <w:rPr>
          <w:sz w:val="28"/>
        </w:rPr>
        <w:t>1. Видами документации по планировке территории являются:</w:t>
      </w:r>
    </w:p>
    <w:p w14:paraId="61000000">
      <w:pPr>
        <w:widowControl w:val="1"/>
        <w:ind w:firstLine="709"/>
        <w:jc w:val="both"/>
        <w:rPr>
          <w:sz w:val="28"/>
        </w:rPr>
      </w:pPr>
      <w:r>
        <w:rPr>
          <w:sz w:val="28"/>
        </w:rPr>
        <w:t>1) проект планировки территории;</w:t>
      </w:r>
    </w:p>
    <w:p w14:paraId="62000000">
      <w:pPr>
        <w:widowControl w:val="1"/>
        <w:ind w:firstLine="709"/>
        <w:jc w:val="both"/>
        <w:rPr>
          <w:sz w:val="28"/>
        </w:rPr>
      </w:pPr>
      <w:r>
        <w:rPr>
          <w:sz w:val="28"/>
        </w:rPr>
        <w:t>2) проект межевания территории.</w:t>
      </w:r>
    </w:p>
    <w:p w14:paraId="63000000">
      <w:pPr>
        <w:widowControl w:val="0"/>
        <w:ind w:firstLine="709"/>
        <w:jc w:val="both"/>
        <w:outlineLvl w:val="2"/>
        <w:rPr>
          <w:sz w:val="28"/>
        </w:rPr>
      </w:pPr>
      <w:r>
        <w:rPr>
          <w:sz w:val="28"/>
        </w:rPr>
        <w:t>2. Общие требования к документации по планировке территории установлены в соответствии со статьей 41.1 Градостроительного кодекса Российской Федерации.</w:t>
      </w:r>
    </w:p>
    <w:p w14:paraId="64000000">
      <w:pPr>
        <w:widowControl w:val="0"/>
        <w:ind w:firstLine="709"/>
        <w:jc w:val="both"/>
        <w:outlineLvl w:val="2"/>
        <w:rPr>
          <w:sz w:val="28"/>
        </w:rPr>
      </w:pPr>
      <w:r>
        <w:rPr>
          <w:sz w:val="28"/>
        </w:rPr>
        <w:t>3. Подготовка документации по планировке территории в целях размещения объекта капитального строительства является обязательной в случаях, предусмотренных действующим законодательством.</w:t>
      </w:r>
    </w:p>
    <w:p w14:paraId="65000000">
      <w:pPr>
        <w:widowControl w:val="1"/>
        <w:ind w:firstLine="709"/>
        <w:jc w:val="both"/>
        <w:rPr>
          <w:sz w:val="28"/>
        </w:rPr>
      </w:pPr>
      <w:r>
        <w:rPr>
          <w:sz w:val="28"/>
        </w:rPr>
        <w:t>4. Внесение изменений в документацию по планировке территории осуществляется в соответствии с действующим законодательством.</w:t>
      </w:r>
    </w:p>
    <w:p w14:paraId="66000000">
      <w:pPr>
        <w:widowControl w:val="1"/>
        <w:tabs>
          <w:tab w:leader="none" w:pos="1112" w:val="left"/>
        </w:tabs>
        <w:ind w:firstLine="709"/>
        <w:jc w:val="both"/>
      </w:pPr>
    </w:p>
    <w:p w14:paraId="67000000">
      <w:pPr>
        <w:pStyle w:val="Style_2"/>
        <w:widowControl w:val="1"/>
        <w:tabs>
          <w:tab w:leader="none" w:pos="0" w:val="left"/>
        </w:tabs>
        <w:spacing w:after="0" w:before="0"/>
        <w:ind w:firstLine="0"/>
        <w:jc w:val="center"/>
        <w:rPr>
          <w:rFonts w:ascii="Times New Roman" w:hAnsi="Times New Roman"/>
          <w:b w:val="0"/>
          <w:i w:val="0"/>
        </w:rPr>
      </w:pPr>
      <w:r>
        <w:rPr>
          <w:rFonts w:ascii="Times New Roman" w:hAnsi="Times New Roman"/>
          <w:b w:val="0"/>
          <w:i w:val="0"/>
        </w:rPr>
        <w:t>Статья 10. Подготовка документации по планировке территории министерством строительства РО, органом местного самоуправления</w:t>
      </w:r>
    </w:p>
    <w:p w14:paraId="68000000">
      <w:pPr>
        <w:pStyle w:val="Style_4"/>
        <w:rPr>
          <w:rFonts w:ascii="Times New Roman" w:hAnsi="Times New Roman"/>
          <w:b w:val="0"/>
          <w:i w:val="0"/>
        </w:rPr>
      </w:pPr>
    </w:p>
    <w:p w14:paraId="69000000">
      <w:pPr>
        <w:widowControl w:val="1"/>
        <w:ind w:firstLine="709"/>
        <w:jc w:val="both"/>
        <w:outlineLvl w:val="0"/>
        <w:rPr>
          <w:sz w:val="28"/>
        </w:rPr>
      </w:pPr>
      <w:r>
        <w:rPr>
          <w:sz w:val="28"/>
        </w:rPr>
        <w:t>1. Подготовка, утверждение, отмена документации по планировке территории осуществляются в порядке, установленном Градостроительным кодексом Российской Федерации, постановлением Правительства Российской Федерации от 02.02.2024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постановлением Правительства Ростовской области от 25.04.2025 № 302 «О взаимодействии органов государственной власти Ростовской области и органов местного самоуправления муниципальных образований в Ростовской области по вопросам исполнения Областного закона от 28.12.2024 №</w:t>
      </w:r>
      <w:r>
        <w:rPr>
          <w:rFonts w:ascii="Times New Roman" w:hAnsi="Times New Roman"/>
          <w:spacing w:val="0"/>
          <w:sz w:val="28"/>
        </w:rPr>
        <w:t> </w:t>
      </w:r>
      <w:r>
        <w:rPr>
          <w:sz w:val="28"/>
        </w:rPr>
        <w:t>251-ЗС», Административным регламентом предоставления государственной услуги «Подготовка и утверждение документации по планировке территории», утверждаемым нормативным правовым актом министерства строительства РО, и</w:t>
      </w:r>
      <w:r>
        <w:rPr>
          <w:rFonts w:ascii="Times New Roman" w:hAnsi="Times New Roman"/>
          <w:spacing w:val="0"/>
          <w:sz w:val="28"/>
        </w:rPr>
        <w:t> </w:t>
      </w:r>
      <w:r>
        <w:rPr>
          <w:sz w:val="28"/>
        </w:rPr>
        <w:t>иным законодательством.</w:t>
      </w:r>
    </w:p>
    <w:p w14:paraId="6A000000">
      <w:pPr>
        <w:widowControl w:val="1"/>
        <w:ind w:firstLine="709"/>
        <w:jc w:val="both"/>
        <w:rPr>
          <w:sz w:val="28"/>
        </w:rPr>
      </w:pPr>
      <w:r>
        <w:rPr>
          <w:sz w:val="28"/>
        </w:rPr>
        <w:t xml:space="preserve">2. </w:t>
      </w:r>
      <w:r>
        <w:rPr>
          <w:rStyle w:val="Style_4_ch"/>
          <w:sz w:val="28"/>
        </w:rPr>
        <w:t>Подготовка, утверждение, отмена документации по планировке территории осуществляются уполномоченным органом местного самоуправления Аксайского района в порядке, установленном Градостроительным кодексом Российской Федерации, постановлением Правительства Российской Федерации от 02.02.2024 №</w:t>
      </w:r>
      <w:r>
        <w:rPr>
          <w:rFonts w:ascii="Times New Roman" w:hAnsi="Times New Roman"/>
          <w:spacing w:val="0"/>
          <w:sz w:val="28"/>
        </w:rPr>
        <w:t> </w:t>
      </w:r>
      <w:r>
        <w:rPr>
          <w:rStyle w:val="Style_4_ch"/>
          <w:sz w:val="28"/>
        </w:rPr>
        <w:t>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в случае размещения линейных объектов и в иных случаях, предусмотренных действующим законодательством.</w:t>
      </w:r>
      <w:r>
        <w:rPr>
          <w:sz w:val="28"/>
        </w:rPr>
        <w:t>».</w:t>
      </w:r>
    </w:p>
    <w:p w14:paraId="6B000000"/>
    <w:p w14:paraId="6C000000"/>
    <w:p w14:paraId="6D000000">
      <w:pPr>
        <w:widowControl w:val="0"/>
        <w:ind w:firstLine="709"/>
        <w:jc w:val="both"/>
        <w:outlineLvl w:val="3"/>
        <w:rPr>
          <w:sz w:val="28"/>
        </w:rPr>
      </w:pPr>
      <w:r>
        <w:rPr>
          <w:sz w:val="28"/>
        </w:rPr>
        <w:t>4. Главу 4 изложить в редакции:</w:t>
      </w:r>
    </w:p>
    <w:p w14:paraId="6E000000">
      <w:pPr>
        <w:pStyle w:val="Style_2"/>
        <w:widowControl w:val="1"/>
        <w:numPr>
          <w:ilvl w:val="1"/>
          <w:numId w:val="1"/>
        </w:numPr>
        <w:spacing w:after="0" w:before="0"/>
        <w:ind w:firstLine="709" w:left="0"/>
        <w:jc w:val="both"/>
        <w:rPr>
          <w:rFonts w:ascii="Times New Roman" w:hAnsi="Times New Roman"/>
          <w:i w:val="0"/>
        </w:rPr>
      </w:pPr>
    </w:p>
    <w:p w14:paraId="6F000000">
      <w:pPr>
        <w:pStyle w:val="Style_2"/>
        <w:widowControl w:val="1"/>
        <w:tabs>
          <w:tab w:leader="none" w:pos="0" w:val="left"/>
        </w:tabs>
        <w:spacing w:after="0" w:before="0"/>
        <w:ind w:firstLine="709"/>
        <w:jc w:val="center"/>
        <w:rPr>
          <w:rFonts w:ascii="Times New Roman" w:hAnsi="Times New Roman"/>
          <w:b w:val="0"/>
          <w:i w:val="0"/>
        </w:rPr>
      </w:pPr>
      <w:r>
        <w:rPr>
          <w:rFonts w:ascii="Times New Roman" w:hAnsi="Times New Roman"/>
          <w:b w:val="0"/>
          <w:i w:val="0"/>
        </w:rPr>
        <w:t>«Глава 4. Положение о проведении публичных слушаний по вопросам землепользования и застройки.</w:t>
      </w:r>
    </w:p>
    <w:p w14:paraId="70000000">
      <w:pPr>
        <w:widowControl w:val="1"/>
        <w:ind/>
        <w:jc w:val="center"/>
        <w:rPr>
          <w:b w:val="0"/>
        </w:rPr>
      </w:pPr>
    </w:p>
    <w:p w14:paraId="71000000">
      <w:pPr>
        <w:pStyle w:val="Style_2"/>
        <w:widowControl w:val="1"/>
        <w:tabs>
          <w:tab w:leader="none" w:pos="0" w:val="left"/>
        </w:tabs>
        <w:spacing w:after="0" w:before="0"/>
        <w:ind w:firstLine="709"/>
        <w:jc w:val="center"/>
        <w:rPr>
          <w:rFonts w:ascii="Times New Roman" w:hAnsi="Times New Roman"/>
          <w:b w:val="0"/>
          <w:i w:val="0"/>
        </w:rPr>
      </w:pPr>
      <w:r>
        <w:rPr>
          <w:rFonts w:ascii="Times New Roman" w:hAnsi="Times New Roman"/>
          <w:b w:val="0"/>
          <w:i w:val="0"/>
        </w:rPr>
        <w:t>Статья 11. Общие положения о проведении публичных слушаний или общественных обсуждений по вопросам землепользования и застройки.</w:t>
      </w:r>
    </w:p>
    <w:p w14:paraId="72000000">
      <w:pPr>
        <w:pStyle w:val="Style_4"/>
        <w:rPr>
          <w:rFonts w:ascii="Times New Roman" w:hAnsi="Times New Roman"/>
          <w:b w:val="0"/>
          <w:i w:val="0"/>
        </w:rPr>
      </w:pPr>
    </w:p>
    <w:p w14:paraId="73000000">
      <w:pPr>
        <w:widowControl w:val="1"/>
        <w:ind w:firstLine="709"/>
        <w:jc w:val="both"/>
        <w:outlineLvl w:val="2"/>
        <w:rPr>
          <w:sz w:val="28"/>
        </w:rPr>
      </w:pPr>
      <w:r>
        <w:rPr>
          <w:sz w:val="28"/>
        </w:rPr>
        <w:t>1. Порядок проведения публичных слушаний или общественных обсуждений по вопросам землепользования и застройки в Щепкинском сельском поселении регламентируется Федеральным законом от 20.03.2025 № 33-ФЗ «Об общих принципах организации местного самоуправления в единой системе публичной власти», Федеральным законом от 06.10.2003 № 131-ФЗ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муниципального района «Аксайский район» Ростовской области, Уставом муниципального образования «Щепкинское сельское поселение», решениями Собрания депутатов Аксайского района и иными муниципальными правовыми актами.</w:t>
      </w:r>
    </w:p>
    <w:p w14:paraId="74000000">
      <w:pPr>
        <w:widowControl w:val="1"/>
        <w:ind w:firstLine="709"/>
        <w:jc w:val="both"/>
        <w:rPr>
          <w:sz w:val="28"/>
        </w:rPr>
      </w:pPr>
      <w:r>
        <w:rPr>
          <w:sz w:val="28"/>
        </w:rPr>
        <w:t>2. Рассмотрению на публичных слушаниях или общественных обсуждениях подлежат следующие вопросы в области землепользования и застройки, за исключением случаев, установленных Градостроительным кодексом Российской Федерации  и Областным законом Ростовской области от 14.01.2008 № 853-ЗС «О градостроительной деятельности в Ростовской области»:</w:t>
      </w:r>
    </w:p>
    <w:p w14:paraId="75000000">
      <w:pPr>
        <w:widowControl w:val="1"/>
        <w:ind w:firstLine="709"/>
        <w:contextualSpacing w:val="1"/>
        <w:jc w:val="both"/>
        <w:rPr>
          <w:sz w:val="28"/>
        </w:rPr>
      </w:pPr>
      <w:r>
        <w:rPr>
          <w:sz w:val="28"/>
        </w:rPr>
        <w:t>- рассмотрение проектов правил землепользования и застройки (проектов о внесении изменений в Правила);</w:t>
      </w:r>
    </w:p>
    <w:p w14:paraId="76000000">
      <w:pPr>
        <w:widowControl w:val="1"/>
        <w:ind w:firstLine="709"/>
        <w:contextualSpacing w:val="1"/>
        <w:jc w:val="both"/>
        <w:rPr>
          <w:sz w:val="28"/>
        </w:rPr>
      </w:pPr>
      <w:r>
        <w:rPr>
          <w:sz w:val="28"/>
        </w:rPr>
        <w:t>- рассмотрение проектов документации по планировке территории (проектов внесения изменений в документацию по планировке территории);</w:t>
      </w:r>
    </w:p>
    <w:p w14:paraId="77000000">
      <w:pPr>
        <w:widowControl w:val="1"/>
        <w:ind w:firstLine="709"/>
        <w:contextualSpacing w:val="1"/>
        <w:jc w:val="both"/>
        <w:rPr>
          <w:sz w:val="28"/>
        </w:rPr>
      </w:pPr>
      <w:r>
        <w:rPr>
          <w:sz w:val="28"/>
        </w:rPr>
        <w:t>- вопросы предоставления разрешений на условно разрешенный вид использования земельных участков и объектов капитального строительства;</w:t>
      </w:r>
    </w:p>
    <w:p w14:paraId="78000000">
      <w:pPr>
        <w:widowControl w:val="1"/>
        <w:ind w:firstLine="709"/>
        <w:contextualSpacing w:val="1"/>
        <w:jc w:val="both"/>
        <w:rPr>
          <w:sz w:val="28"/>
        </w:rPr>
      </w:pPr>
      <w:r>
        <w:rPr>
          <w:sz w:val="28"/>
        </w:rPr>
        <w:t>- вопросы отклонения от предельных параметров разрешенного строительства, реконструкции объектов капитального строительства,</w:t>
      </w:r>
      <w:r>
        <w:rPr>
          <w:rStyle w:val="Style_10_ch"/>
          <w:sz w:val="28"/>
        </w:rPr>
        <w:t xml:space="preserve"> за исключением случая,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w:t>
      </w:r>
      <w:r>
        <w:rPr>
          <w:rStyle w:val="Style_10_ch"/>
          <w:sz w:val="28"/>
        </w:rPr>
        <w:t xml:space="preserve"> не более чем на десять процентов.</w:t>
      </w:r>
    </w:p>
    <w:p w14:paraId="79000000">
      <w:pPr>
        <w:widowControl w:val="1"/>
        <w:ind w:firstLine="709"/>
        <w:jc w:val="both"/>
        <w:rPr>
          <w:sz w:val="28"/>
        </w:rPr>
      </w:pPr>
      <w:r>
        <w:rPr>
          <w:sz w:val="28"/>
        </w:rPr>
        <w:t>3. Мнение жителей поселения, выявленное в ходе публичных слушаний, носит для органов исполнительной власти Ростовской области и органов местного самоуправления рекомендательный характер.».</w:t>
      </w:r>
    </w:p>
    <w:p w14:paraId="7A000000">
      <w:pPr>
        <w:widowControl w:val="1"/>
        <w:ind w:firstLine="709"/>
        <w:jc w:val="both"/>
        <w:rPr>
          <w:sz w:val="28"/>
        </w:rPr>
      </w:pPr>
    </w:p>
    <w:p w14:paraId="7B000000">
      <w:pPr>
        <w:widowControl w:val="1"/>
        <w:ind w:firstLine="709"/>
        <w:jc w:val="both"/>
        <w:rPr>
          <w:sz w:val="28"/>
        </w:rPr>
      </w:pPr>
      <w:r>
        <w:rPr>
          <w:sz w:val="28"/>
        </w:rPr>
        <w:t>5. Главу 5 изложить в редакции:</w:t>
      </w:r>
    </w:p>
    <w:p w14:paraId="7C000000">
      <w:pPr>
        <w:widowControl w:val="1"/>
        <w:ind w:firstLine="709"/>
        <w:jc w:val="both"/>
        <w:rPr>
          <w:sz w:val="28"/>
        </w:rPr>
      </w:pPr>
    </w:p>
    <w:p w14:paraId="7D000000">
      <w:pPr>
        <w:pStyle w:val="Style_8"/>
        <w:widowControl w:val="1"/>
        <w:tabs>
          <w:tab w:leader="none" w:pos="0" w:val="left"/>
        </w:tabs>
        <w:spacing w:after="0" w:before="0"/>
        <w:ind w:firstLine="709"/>
        <w:jc w:val="center"/>
        <w:rPr>
          <w:rFonts w:ascii="Times New Roman" w:hAnsi="Times New Roman"/>
          <w:b w:val="0"/>
          <w:sz w:val="28"/>
        </w:rPr>
      </w:pPr>
      <w:r>
        <w:rPr>
          <w:rFonts w:ascii="Times New Roman" w:hAnsi="Times New Roman"/>
          <w:b w:val="0"/>
          <w:sz w:val="28"/>
        </w:rPr>
        <w:t>«Глава 5. Положение о внесении изменений в Правила землепользования и застройки.</w:t>
      </w:r>
    </w:p>
    <w:p w14:paraId="7E000000">
      <w:pPr>
        <w:widowControl w:val="1"/>
        <w:ind/>
        <w:jc w:val="center"/>
        <w:rPr>
          <w:b w:val="0"/>
        </w:rPr>
      </w:pPr>
    </w:p>
    <w:p w14:paraId="7F000000">
      <w:pPr>
        <w:pStyle w:val="Style_2"/>
        <w:widowControl w:val="1"/>
        <w:tabs>
          <w:tab w:leader="none" w:pos="0" w:val="left"/>
        </w:tabs>
        <w:spacing w:after="0" w:before="0"/>
        <w:ind w:firstLine="709"/>
        <w:jc w:val="center"/>
        <w:rPr>
          <w:rFonts w:ascii="Times New Roman" w:hAnsi="Times New Roman"/>
          <w:b w:val="0"/>
          <w:i w:val="0"/>
        </w:rPr>
      </w:pPr>
      <w:r>
        <w:rPr>
          <w:rFonts w:ascii="Times New Roman" w:hAnsi="Times New Roman"/>
          <w:b w:val="0"/>
          <w:i w:val="0"/>
        </w:rPr>
        <w:t>Статья 12. Порядок внесения изменений в Правила землепользования и застройки</w:t>
      </w:r>
    </w:p>
    <w:p w14:paraId="80000000">
      <w:pPr>
        <w:pStyle w:val="Style_4"/>
        <w:rPr>
          <w:rFonts w:ascii="Times New Roman" w:hAnsi="Times New Roman"/>
          <w:b w:val="0"/>
          <w:i w:val="0"/>
        </w:rPr>
      </w:pPr>
    </w:p>
    <w:p w14:paraId="81000000">
      <w:pPr>
        <w:widowControl w:val="0"/>
        <w:ind w:firstLine="709"/>
        <w:jc w:val="both"/>
        <w:rPr>
          <w:sz w:val="28"/>
        </w:rPr>
      </w:pPr>
      <w:r>
        <w:rPr>
          <w:sz w:val="28"/>
        </w:rPr>
        <w:t xml:space="preserve">1. Внесение изменений в Правила осуществляется в порядке, предусмотренном </w:t>
      </w:r>
      <w:r>
        <w:rPr>
          <w:sz w:val="28"/>
        </w:rPr>
        <w:fldChar w:fldCharType="begin"/>
      </w:r>
      <w:r>
        <w:rPr>
          <w:sz w:val="28"/>
        </w:rPr>
        <w:instrText>HYPERLINK "consultantplus://offline/ref=D718A98C10D1F058F48D84FBDA0E22491EA54F3B84E0EBF8F97330911E94D205593F7E9AB8EB0030WDg9K"</w:instrText>
      </w:r>
      <w:r>
        <w:rPr>
          <w:sz w:val="28"/>
        </w:rPr>
        <w:fldChar w:fldCharType="separate"/>
      </w:r>
      <w:r>
        <w:rPr>
          <w:sz w:val="28"/>
        </w:rPr>
        <w:t>статьями 31-33</w:t>
      </w:r>
      <w:r>
        <w:rPr>
          <w:sz w:val="28"/>
        </w:rPr>
        <w:fldChar w:fldCharType="end"/>
      </w:r>
      <w:r>
        <w:rPr>
          <w:sz w:val="28"/>
        </w:rPr>
        <w:t xml:space="preserve"> Градостроительного кодекса Российской Федерации, и законодательством Ростовской области.</w:t>
      </w:r>
    </w:p>
    <w:p w14:paraId="82000000">
      <w:pPr>
        <w:widowControl w:val="0"/>
        <w:ind w:firstLine="709"/>
        <w:jc w:val="both"/>
        <w:rPr>
          <w:sz w:val="28"/>
        </w:rPr>
      </w:pPr>
      <w:r>
        <w:rPr>
          <w:sz w:val="28"/>
        </w:rPr>
        <w:t xml:space="preserve">2.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 рекомендуемый перечень которых устанавливается правовым актом министерства строительства РО. </w:t>
      </w:r>
    </w:p>
    <w:p w14:paraId="83000000">
      <w:pPr>
        <w:widowControl w:val="0"/>
        <w:ind w:firstLine="709"/>
        <w:jc w:val="both"/>
        <w:rPr>
          <w:sz w:val="28"/>
        </w:rPr>
      </w:pPr>
      <w:r>
        <w:rPr>
          <w:sz w:val="28"/>
        </w:rPr>
        <w:t>3. Предложения рассматриваются Комиссией в порядке, установленном законодательством Ростовской области.</w:t>
      </w:r>
    </w:p>
    <w:p w14:paraId="84000000">
      <w:pPr>
        <w:widowControl w:val="0"/>
        <w:ind w:firstLine="709"/>
        <w:jc w:val="both"/>
        <w:rPr>
          <w:sz w:val="28"/>
        </w:rPr>
      </w:pPr>
    </w:p>
    <w:p w14:paraId="85000000">
      <w:pPr>
        <w:widowControl w:val="0"/>
        <w:ind w:firstLine="709"/>
        <w:jc w:val="both"/>
        <w:rPr>
          <w:sz w:val="28"/>
          <w:highlight w:val="magenta"/>
        </w:rPr>
      </w:pPr>
      <w:r>
        <w:rPr>
          <w:sz w:val="28"/>
          <w:highlight w:val="magenta"/>
        </w:rPr>
        <w:t xml:space="preserve">6. Наименование главы 6 изложить в редакции: </w:t>
      </w:r>
    </w:p>
    <w:p w14:paraId="86000000">
      <w:pPr>
        <w:widowControl w:val="0"/>
        <w:ind w:firstLine="709"/>
        <w:jc w:val="both"/>
        <w:rPr>
          <w:sz w:val="28"/>
          <w:highlight w:val="magenta"/>
        </w:rPr>
      </w:pPr>
    </w:p>
    <w:p w14:paraId="87000000">
      <w:pPr>
        <w:widowControl w:val="0"/>
        <w:ind w:firstLine="709"/>
        <w:jc w:val="center"/>
        <w:rPr>
          <w:sz w:val="28"/>
          <w:highlight w:val="magenta"/>
        </w:rPr>
      </w:pPr>
      <w:r>
        <w:rPr>
          <w:sz w:val="28"/>
          <w:highlight w:val="magenta"/>
        </w:rPr>
        <w:t>«Глава 6. Регулирование иных вопросов землепользования и застройки».</w:t>
      </w:r>
    </w:p>
    <w:p w14:paraId="88000000">
      <w:pPr>
        <w:widowControl w:val="0"/>
        <w:ind w:firstLine="709"/>
        <w:jc w:val="both"/>
        <w:rPr>
          <w:sz w:val="28"/>
        </w:rPr>
      </w:pPr>
    </w:p>
    <w:p w14:paraId="89000000">
      <w:pPr>
        <w:widowControl w:val="0"/>
        <w:ind w:firstLine="709"/>
        <w:jc w:val="both"/>
        <w:rPr>
          <w:sz w:val="28"/>
          <w:highlight w:val="magenta"/>
        </w:rPr>
      </w:pPr>
      <w:r>
        <w:rPr>
          <w:sz w:val="28"/>
          <w:highlight w:val="magenta"/>
        </w:rPr>
        <w:t>7. Статью 13 исключить.</w:t>
      </w:r>
    </w:p>
    <w:p w14:paraId="8A000000">
      <w:pPr>
        <w:widowControl w:val="0"/>
        <w:ind w:firstLine="709"/>
        <w:jc w:val="both"/>
        <w:rPr>
          <w:sz w:val="28"/>
          <w:highlight w:val="magenta"/>
        </w:rPr>
      </w:pPr>
    </w:p>
    <w:p w14:paraId="8B000000">
      <w:pPr>
        <w:widowControl w:val="0"/>
        <w:ind w:firstLine="709"/>
        <w:jc w:val="both"/>
        <w:rPr>
          <w:sz w:val="28"/>
          <w:highlight w:val="magenta"/>
        </w:rPr>
      </w:pPr>
      <w:r>
        <w:rPr>
          <w:sz w:val="28"/>
          <w:highlight w:val="magenta"/>
        </w:rPr>
        <w:t>8. Статью 14 изложить в редакции:</w:t>
      </w:r>
    </w:p>
    <w:p w14:paraId="8C000000">
      <w:pPr>
        <w:widowControl w:val="0"/>
        <w:ind w:firstLine="709"/>
        <w:jc w:val="both"/>
        <w:rPr>
          <w:sz w:val="28"/>
          <w:highlight w:val="magenta"/>
        </w:rPr>
      </w:pPr>
    </w:p>
    <w:p w14:paraId="8D000000">
      <w:pPr>
        <w:widowControl w:val="0"/>
        <w:ind w:firstLine="709"/>
        <w:jc w:val="center"/>
        <w:outlineLvl w:val="2"/>
        <w:rPr>
          <w:color w:val="000000"/>
          <w:sz w:val="28"/>
          <w:highlight w:val="magenta"/>
        </w:rPr>
      </w:pPr>
      <w:r>
        <w:rPr>
          <w:color w:val="000000"/>
          <w:sz w:val="28"/>
          <w:highlight w:val="magenta"/>
        </w:rPr>
        <w:t>«Статья 14. Комплексное развитие территории</w:t>
      </w:r>
      <w:r>
        <w:rPr>
          <w:color w:val="000000"/>
          <w:sz w:val="28"/>
          <w:highlight w:val="magenta"/>
        </w:rPr>
        <w:t>.</w:t>
      </w:r>
    </w:p>
    <w:p w14:paraId="8E000000">
      <w:pPr>
        <w:widowControl w:val="1"/>
        <w:ind w:firstLine="709"/>
        <w:jc w:val="both"/>
        <w:rPr>
          <w:color w:val="000000"/>
          <w:sz w:val="28"/>
          <w:highlight w:val="magenta"/>
        </w:rPr>
      </w:pPr>
    </w:p>
    <w:p w14:paraId="8F000000">
      <w:pPr>
        <w:widowControl w:val="1"/>
        <w:ind w:firstLine="709"/>
        <w:jc w:val="both"/>
        <w:rPr>
          <w:color w:val="000000"/>
          <w:sz w:val="28"/>
          <w:highlight w:val="magenta"/>
        </w:rPr>
      </w:pPr>
      <w:r>
        <w:rPr>
          <w:color w:val="000000"/>
          <w:sz w:val="28"/>
          <w:highlight w:val="magenta"/>
        </w:rPr>
        <w:t xml:space="preserve">1. </w:t>
      </w:r>
      <w:r>
        <w:rPr>
          <w:color w:val="000000"/>
          <w:sz w:val="28"/>
          <w:highlight w:val="magenta"/>
        </w:rPr>
        <w:t xml:space="preserve">Для видов разрешенного использования земельных участков и объектов капитального строительства, соответствующих кодам 2.1.1, 2.5, 2.6, </w:t>
      </w:r>
      <w:r>
        <w:rPr>
          <w:color w:val="000000"/>
          <w:sz w:val="28"/>
          <w:highlight w:val="magenta"/>
        </w:rPr>
        <w:t xml:space="preserve">строительство, реконструкция объектов капитального строительства </w:t>
      </w:r>
      <w:r>
        <w:rPr>
          <w:color w:val="000000"/>
          <w:sz w:val="28"/>
          <w:highlight w:val="magenta"/>
        </w:rPr>
        <w:t xml:space="preserve">на территории </w:t>
      </w:r>
      <w:r>
        <w:rPr>
          <w:color w:val="000000"/>
          <w:sz w:val="28"/>
          <w:highlight w:val="magenta"/>
        </w:rPr>
        <w:t>Щ</w:t>
      </w:r>
      <w:r>
        <w:rPr>
          <w:color w:val="000000"/>
          <w:sz w:val="28"/>
          <w:highlight w:val="magenta"/>
        </w:rPr>
        <w:t xml:space="preserve">епкинского </w:t>
      </w:r>
      <w:r>
        <w:rPr>
          <w:color w:val="000000"/>
          <w:sz w:val="28"/>
          <w:highlight w:val="magenta"/>
        </w:rPr>
        <w:t>сельского</w:t>
      </w:r>
      <w:r>
        <w:rPr>
          <w:color w:val="000000"/>
          <w:sz w:val="28"/>
          <w:highlight w:val="magenta"/>
        </w:rPr>
        <w:t xml:space="preserve"> </w:t>
      </w:r>
      <w:r>
        <w:rPr>
          <w:color w:val="000000"/>
          <w:sz w:val="28"/>
          <w:highlight w:val="magenta"/>
        </w:rPr>
        <w:t>поселения</w:t>
      </w:r>
      <w:r>
        <w:rPr>
          <w:color w:val="000000"/>
          <w:sz w:val="28"/>
          <w:highlight w:val="magenta"/>
        </w:rPr>
        <w:t xml:space="preserve"> </w:t>
      </w:r>
      <w:r>
        <w:rPr>
          <w:color w:val="000000"/>
          <w:sz w:val="28"/>
          <w:highlight w:val="magenta"/>
        </w:rPr>
        <w:t>Аксайского</w:t>
      </w:r>
      <w:r>
        <w:rPr>
          <w:color w:val="000000"/>
          <w:sz w:val="28"/>
          <w:highlight w:val="magenta"/>
        </w:rPr>
        <w:t xml:space="preserve"> </w:t>
      </w:r>
      <w:r>
        <w:rPr>
          <w:color w:val="000000"/>
          <w:sz w:val="28"/>
          <w:highlight w:val="magenta"/>
        </w:rPr>
        <w:t>района</w:t>
      </w:r>
      <w:r>
        <w:rPr>
          <w:color w:val="000000"/>
          <w:sz w:val="28"/>
          <w:highlight w:val="magenta"/>
        </w:rPr>
        <w:t xml:space="preserve"> </w:t>
      </w:r>
      <w:r>
        <w:rPr>
          <w:color w:val="000000"/>
          <w:sz w:val="28"/>
          <w:highlight w:val="magenta"/>
        </w:rPr>
        <w:t>Ростовской</w:t>
      </w:r>
      <w:r>
        <w:rPr>
          <w:color w:val="000000"/>
          <w:sz w:val="28"/>
          <w:highlight w:val="magenta"/>
        </w:rPr>
        <w:t xml:space="preserve"> </w:t>
      </w:r>
      <w:r>
        <w:rPr>
          <w:color w:val="000000"/>
          <w:sz w:val="28"/>
          <w:highlight w:val="magenta"/>
        </w:rPr>
        <w:t>области</w:t>
      </w:r>
      <w:r>
        <w:rPr>
          <w:color w:val="000000"/>
          <w:sz w:val="28"/>
          <w:highlight w:val="magenta"/>
        </w:rPr>
        <w:t xml:space="preserve"> осуществляется только на основании решения </w:t>
      </w:r>
      <w:r>
        <w:rPr>
          <w:color w:val="000000"/>
          <w:sz w:val="28"/>
          <w:highlight w:val="magenta"/>
        </w:rPr>
        <w:t>о комплексном развитии территории в соответствии с заключенным соглашением с лицом, определенным Правительством Ростовской области (оператором комплексного развития территории), или договором о</w:t>
      </w:r>
      <w:r>
        <w:rPr>
          <w:color w:val="000000"/>
          <w:sz w:val="28"/>
          <w:highlight w:val="magenta"/>
        </w:rPr>
        <w:t> комплексном развитии территории,</w:t>
      </w:r>
      <w:r>
        <w:rPr>
          <w:color w:val="000000"/>
          <w:sz w:val="28"/>
          <w:highlight w:val="magenta"/>
        </w:rPr>
        <w:t xml:space="preserve"> либо на основании договора о комплексном развитии территории по инициативе правообладателя (правообладателей) земельных участков и (или) расположенных на них объектов недвижимости, заключенного в соответствии со статьей 70 Градостроительного кодекса Российской Федерации</w:t>
      </w:r>
      <w:r>
        <w:rPr>
          <w:color w:val="000000"/>
          <w:sz w:val="28"/>
          <w:highlight w:val="magenta"/>
        </w:rPr>
        <w:t>, за исключением случаев, предусмотренных настоящей статьей.</w:t>
      </w:r>
    </w:p>
    <w:p w14:paraId="90000000">
      <w:pPr>
        <w:widowControl w:val="1"/>
        <w:ind w:firstLine="709"/>
        <w:jc w:val="both"/>
        <w:rPr>
          <w:color w:val="000000"/>
          <w:sz w:val="28"/>
          <w:highlight w:val="magenta"/>
        </w:rPr>
      </w:pPr>
      <w:r>
        <w:rPr>
          <w:color w:val="000000"/>
          <w:sz w:val="28"/>
          <w:highlight w:val="magenta"/>
        </w:rPr>
        <w:t>2. Для видов разрешенного использования земельных участков и объектов капитального строительства, соответствующих кодам 2.1, 2.3, строительство, реконструкция объектов капитального строительства на территории Щепкинского сельского поселения Аксайского района Ростовской области в границах незастроенного жилыми домами элемента планировочной структуры или незастроенной жилыми домами части элемента планировочной структуры (площадью 10% и более от площади квартала; площадью 5% и более от площади микрорайона), осуществляется только на основании решения о комплексном развитии территории в соответствии с заключенным соглашением с лицом, определенным Правительством Ростовской области (оператором комплексного развития территории), или договором о комплексном развитии территории, либо на основании договора о комплексном развитии территории по инициативе правообладателя (правообладателей) земельных участков и (или) расположенных на них объектов недвижимости, заключенного в соответствии со статьей 70 Градостроительного кодекса Российской Федерации, за исключением случаев, предусмотренных настоящей статьей.</w:t>
      </w:r>
    </w:p>
    <w:p w14:paraId="91000000">
      <w:pPr>
        <w:widowControl w:val="1"/>
        <w:ind w:firstLine="709"/>
        <w:jc w:val="both"/>
        <w:rPr>
          <w:color w:val="000000"/>
          <w:sz w:val="28"/>
          <w:highlight w:val="magenta"/>
        </w:rPr>
      </w:pPr>
      <w:r>
        <w:rPr>
          <w:color w:val="000000"/>
          <w:sz w:val="28"/>
          <w:highlight w:val="magenta"/>
        </w:rPr>
        <w:t>3. Не требуется принятие решения о комплексном развитии территории и (или) заключение договора о комплексном развитии территории в случаях, если планируется:</w:t>
      </w:r>
    </w:p>
    <w:p w14:paraId="92000000">
      <w:pPr>
        <w:widowControl w:val="1"/>
        <w:ind w:firstLine="709"/>
        <w:jc w:val="both"/>
        <w:rPr>
          <w:color w:val="000000"/>
          <w:sz w:val="28"/>
          <w:highlight w:val="magenta"/>
        </w:rPr>
      </w:pPr>
      <w:r>
        <w:rPr>
          <w:color w:val="000000"/>
          <w:sz w:val="28"/>
          <w:highlight w:val="magenta"/>
        </w:rPr>
        <w:t>1) строительство, реконструкция объектов капитального строительства с видами разрешенного использования, соответствующим кодам 2.1, 2.3 в границах территории, ранее предоставленной садоводческому некоммерческому товариществу;</w:t>
      </w:r>
    </w:p>
    <w:p w14:paraId="93000000">
      <w:pPr>
        <w:widowControl w:val="1"/>
        <w:ind w:firstLine="709"/>
        <w:jc w:val="both"/>
        <w:rPr>
          <w:color w:val="000000"/>
          <w:sz w:val="28"/>
          <w:highlight w:val="magenta"/>
        </w:rPr>
      </w:pPr>
      <w:r>
        <w:rPr>
          <w:color w:val="000000"/>
          <w:sz w:val="28"/>
          <w:highlight w:val="magenta"/>
        </w:rPr>
        <w:t xml:space="preserve">2) </w:t>
      </w:r>
      <w:r>
        <w:rPr>
          <w:color w:val="000000"/>
          <w:sz w:val="28"/>
          <w:highlight w:val="magenta"/>
        </w:rPr>
        <w:t xml:space="preserve">строительство, реконструкция объектов капитального строительства с видами разрешенного использования, соответствующим кодам </w:t>
      </w:r>
      <w:r>
        <w:rPr>
          <w:color w:val="000000"/>
          <w:sz w:val="28"/>
          <w:highlight w:val="magenta"/>
        </w:rPr>
        <w:t>2.1, 2.1.1, 2.3,</w:t>
      </w:r>
      <w:r>
        <w:rPr>
          <w:color w:val="000000"/>
          <w:highlight w:val="magenta"/>
        </w:rPr>
        <w:t xml:space="preserve"> </w:t>
      </w:r>
      <w:r>
        <w:rPr>
          <w:color w:val="000000"/>
          <w:sz w:val="28"/>
          <w:highlight w:val="magenta"/>
        </w:rPr>
        <w:t>2.5, 2.6,</w:t>
      </w:r>
      <w:r>
        <w:rPr>
          <w:color w:val="000000"/>
          <w:sz w:val="28"/>
          <w:highlight w:val="magenta"/>
        </w:rPr>
        <w:t xml:space="preserve"> финансирование (софинансирование) которых осуществляется из средств федерального, регионального, местного бюджетов;</w:t>
      </w:r>
    </w:p>
    <w:p w14:paraId="94000000">
      <w:pPr>
        <w:widowControl w:val="1"/>
        <w:ind w:firstLine="709"/>
        <w:jc w:val="both"/>
        <w:rPr>
          <w:color w:val="000000"/>
          <w:sz w:val="28"/>
          <w:highlight w:val="magenta"/>
        </w:rPr>
      </w:pPr>
      <w:r>
        <w:rPr>
          <w:color w:val="000000"/>
          <w:sz w:val="28"/>
          <w:highlight w:val="magenta"/>
        </w:rPr>
        <w:t xml:space="preserve">3) реконструкция существующих объектов капитального строительства с видами разрешенного использования, соответствующих кодам 2.1, 2.1.1, 2.3, 2.5, 2.6, если изменение параметров такого объекта капитального строительства, его частей </w:t>
      </w:r>
      <w:r>
        <w:rPr>
          <w:color w:val="000000"/>
          <w:sz w:val="28"/>
          <w:highlight w:val="magenta"/>
        </w:rPr>
        <w:t xml:space="preserve">(высоты, количества этажей, площади, объема), не приведет к увеличению численности населения; </w:t>
      </w:r>
    </w:p>
    <w:p w14:paraId="95000000">
      <w:pPr>
        <w:widowControl w:val="1"/>
        <w:ind w:firstLine="709"/>
        <w:jc w:val="both"/>
        <w:rPr>
          <w:color w:val="000000"/>
          <w:sz w:val="28"/>
          <w:highlight w:val="magenta"/>
        </w:rPr>
      </w:pPr>
      <w:r>
        <w:rPr>
          <w:color w:val="000000"/>
          <w:sz w:val="28"/>
          <w:highlight w:val="magenta"/>
        </w:rPr>
        <w:t xml:space="preserve">4) строительство объектов капитального строительства </w:t>
      </w:r>
      <w:r>
        <w:rPr>
          <w:color w:val="000000"/>
          <w:sz w:val="28"/>
          <w:highlight w:val="magenta"/>
        </w:rPr>
        <w:t>с видами разрешенного использования, соответствующим кодам 2.1, 2.1.1, 2.3, 2.5, 2.6,</w:t>
      </w:r>
      <w:r>
        <w:rPr>
          <w:color w:val="000000"/>
          <w:sz w:val="28"/>
          <w:highlight w:val="magenta"/>
        </w:rPr>
        <w:t xml:space="preserve"> в рамках реализации масштабных инвестиционных проектов в сфере жилищного строительства, предусмотренных областным законодательством, договоров о комплексном освоении территорий;</w:t>
      </w:r>
    </w:p>
    <w:p w14:paraId="96000000">
      <w:pPr>
        <w:widowControl w:val="1"/>
        <w:ind w:firstLine="709"/>
        <w:jc w:val="both"/>
        <w:rPr>
          <w:color w:val="000000"/>
          <w:sz w:val="28"/>
          <w:highlight w:val="magenta"/>
        </w:rPr>
      </w:pPr>
      <w:r>
        <w:rPr>
          <w:color w:val="000000"/>
          <w:sz w:val="28"/>
          <w:highlight w:val="magenta"/>
        </w:rPr>
        <w:t>5) строительство, реконструкция объектов капитального строительства</w:t>
      </w:r>
      <w:r>
        <w:rPr>
          <w:color w:val="000000"/>
          <w:highlight w:val="magenta"/>
        </w:rPr>
        <w:t xml:space="preserve"> </w:t>
      </w:r>
      <w:r>
        <w:rPr>
          <w:color w:val="000000"/>
          <w:sz w:val="28"/>
          <w:highlight w:val="magenta"/>
        </w:rPr>
        <w:t>с видами разрешенного использования, соответствующим кодам 2.1, 2.1.1, 2.3, 2.5, 2.6, на земельных участках, предоставленным физическим или юридическим лицам на основании договоров аренды, заключенных до вступления в силу  Областного закона Ростовской области № 251 «О перераспределении отдельных полномочий между органами местного самоуправления и органами государственной власти Ростовской области», для целей жилищного строительства сроком менее 5 лет, при условии наличия утверждённой документации по планировке территории, предусматривающей обеспеченность таких объектов жилищного строительства нормируемыми объектами социальной инфраструктуры.</w:t>
      </w:r>
    </w:p>
    <w:p w14:paraId="97000000">
      <w:pPr>
        <w:widowControl w:val="1"/>
        <w:ind w:firstLine="709"/>
        <w:jc w:val="both"/>
        <w:rPr>
          <w:color w:val="000000"/>
          <w:sz w:val="28"/>
          <w:highlight w:val="magenta"/>
        </w:rPr>
      </w:pPr>
      <w:r>
        <w:rPr>
          <w:color w:val="000000"/>
          <w:sz w:val="28"/>
          <w:highlight w:val="magenta"/>
        </w:rPr>
        <w:t>4. Для целей заключения договора о комплексном развитии территории по инициативе правообладателя (правообладателей) земельных участков и (или) расположенных на них объектов недвижимости в соответствии со статьей 70 Градостроительного кодекса Российской Федерации, территорией, в границах которых предусмотрено осуществление деятельности по комплексному развитию территории, признается территория Щепкинского сельского поселения. При этом, условиями договора о комплексном развитии территории необходимо предусматривать внесение изменений в правила землепользования и застройки в части отнесения соответствующей территории к территориям, в границах которых предусмотрено осуществление деятельности по комплексному развитию территории, до утверждения документации по планировке территории (внесения в нее изменений) или в случае, если договор о комплексном развитии территории заключается на основании ранее утвержденной документации по планировке территории, до этапа выдачи разрешений на строительство объектов капитального строительства.</w:t>
      </w:r>
    </w:p>
    <w:p w14:paraId="98000000">
      <w:pPr>
        <w:widowControl w:val="0"/>
        <w:ind w:firstLine="709"/>
        <w:jc w:val="both"/>
        <w:rPr>
          <w:sz w:val="28"/>
        </w:rPr>
      </w:pPr>
    </w:p>
    <w:p w14:paraId="99000000">
      <w:pPr>
        <w:widowControl w:val="0"/>
        <w:ind w:firstLine="709"/>
        <w:jc w:val="both"/>
        <w:rPr>
          <w:sz w:val="28"/>
          <w:highlight w:val="magenta"/>
        </w:rPr>
      </w:pPr>
      <w:r>
        <w:rPr>
          <w:sz w:val="28"/>
          <w:highlight w:val="magenta"/>
        </w:rPr>
        <w:t>9. Статью 15 изложить в редакции:</w:t>
      </w:r>
    </w:p>
    <w:p w14:paraId="9A000000">
      <w:pPr>
        <w:widowControl w:val="0"/>
        <w:ind w:firstLine="709"/>
        <w:jc w:val="both"/>
        <w:rPr>
          <w:sz w:val="28"/>
          <w:highlight w:val="magenta"/>
        </w:rPr>
      </w:pPr>
    </w:p>
    <w:p w14:paraId="9B000000">
      <w:pPr>
        <w:widowControl w:val="0"/>
        <w:ind w:firstLine="709"/>
        <w:jc w:val="center"/>
        <w:rPr>
          <w:sz w:val="28"/>
          <w:highlight w:val="magenta"/>
        </w:rPr>
      </w:pPr>
      <w:r>
        <w:rPr>
          <w:sz w:val="28"/>
          <w:highlight w:val="magenta"/>
        </w:rPr>
        <w:t xml:space="preserve">«Статья 15. Предоставление разрешения </w:t>
      </w:r>
    </w:p>
    <w:p w14:paraId="9C000000">
      <w:pPr>
        <w:widowControl w:val="0"/>
        <w:ind w:firstLine="709"/>
        <w:jc w:val="center"/>
        <w:rPr>
          <w:sz w:val="28"/>
          <w:highlight w:val="magenta"/>
        </w:rPr>
      </w:pPr>
      <w:r>
        <w:rPr>
          <w:sz w:val="28"/>
          <w:highlight w:val="magenta"/>
        </w:rPr>
        <w:t>на условно разрешенный вид использования</w:t>
      </w:r>
      <w:r>
        <w:t xml:space="preserve"> </w:t>
      </w:r>
      <w:r>
        <w:rPr>
          <w:sz w:val="28"/>
          <w:highlight w:val="magenta"/>
        </w:rPr>
        <w:t xml:space="preserve">земельного участка </w:t>
      </w:r>
    </w:p>
    <w:p w14:paraId="9D000000">
      <w:pPr>
        <w:widowControl w:val="0"/>
        <w:ind w:firstLine="709"/>
        <w:jc w:val="center"/>
        <w:rPr>
          <w:sz w:val="28"/>
          <w:highlight w:val="magenta"/>
        </w:rPr>
      </w:pPr>
      <w:r>
        <w:rPr>
          <w:sz w:val="28"/>
          <w:highlight w:val="magenta"/>
        </w:rPr>
        <w:t>или объекта капитального строительства</w:t>
      </w:r>
      <w:r>
        <w:rPr>
          <w:sz w:val="28"/>
          <w:highlight w:val="magenta"/>
        </w:rPr>
        <w:t>.</w:t>
      </w:r>
    </w:p>
    <w:p w14:paraId="9E000000">
      <w:pPr>
        <w:widowControl w:val="0"/>
        <w:ind w:firstLine="709"/>
        <w:jc w:val="both"/>
        <w:rPr>
          <w:sz w:val="28"/>
          <w:highlight w:val="magenta"/>
        </w:rPr>
      </w:pPr>
    </w:p>
    <w:p w14:paraId="9F000000">
      <w:pPr>
        <w:widowControl w:val="0"/>
        <w:ind w:firstLine="709"/>
        <w:jc w:val="both"/>
        <w:rPr>
          <w:sz w:val="28"/>
        </w:rPr>
      </w:pPr>
      <w:r>
        <w:rPr>
          <w:sz w:val="28"/>
          <w:highlight w:val="magenta"/>
        </w:rPr>
        <w:t xml:space="preserve">1. Предоставление разрешения на условно разрешенный вид использования </w:t>
      </w:r>
      <w:r>
        <w:rPr>
          <w:sz w:val="28"/>
          <w:highlight w:val="magenta"/>
        </w:rPr>
        <w:t>земельного участка или объекта капитального строительства</w:t>
      </w:r>
      <w:r>
        <w:rPr>
          <w:sz w:val="28"/>
          <w:highlight w:val="magenta"/>
        </w:rPr>
        <w:t xml:space="preserve">, расположенного в границах Щепкинского поселения, осуществляется в порядке, предусмотренном Градостроительным кодексом Российской Федерации, Земельным кодексом Российской Федерации, административным регламентом предоставления государственной услуги «Предоставление разрешения на условно разрешенный вид использования земельного участка или объекта капитального строительства», </w:t>
      </w:r>
      <w:r>
        <w:rPr>
          <w:sz w:val="28"/>
          <w:highlight w:val="magenta"/>
        </w:rPr>
        <w:t>утверждаемым нормативным правовым актом министерства строительства РО, муниципальными правовыми актами и муниципальными правовыми актами муниципального образования «Аксайский район».</w:t>
      </w:r>
      <w:r>
        <w:rPr>
          <w:sz w:val="28"/>
        </w:rPr>
        <w:t>».</w:t>
      </w:r>
    </w:p>
    <w:p w14:paraId="A0000000">
      <w:pPr>
        <w:widowControl w:val="0"/>
        <w:ind w:firstLine="709"/>
        <w:jc w:val="both"/>
        <w:rPr>
          <w:sz w:val="28"/>
        </w:rPr>
      </w:pPr>
    </w:p>
    <w:p w14:paraId="A1000000">
      <w:pPr>
        <w:widowControl w:val="0"/>
        <w:ind w:firstLine="709"/>
        <w:jc w:val="both"/>
        <w:rPr>
          <w:sz w:val="28"/>
        </w:rPr>
      </w:pPr>
      <w:r>
        <w:rPr>
          <w:sz w:val="28"/>
          <w:highlight w:val="magenta"/>
        </w:rPr>
        <w:t>10</w:t>
      </w:r>
      <w:r>
        <w:rPr>
          <w:sz w:val="28"/>
          <w:highlight w:val="magenta"/>
        </w:rPr>
        <w:t>.</w:t>
      </w:r>
      <w:r>
        <w:rPr>
          <w:sz w:val="28"/>
        </w:rPr>
        <w:t xml:space="preserve"> Статью 16 изложить в редакции:</w:t>
      </w:r>
    </w:p>
    <w:p w14:paraId="A2000000">
      <w:pPr>
        <w:widowControl w:val="0"/>
        <w:ind w:firstLine="709"/>
        <w:jc w:val="both"/>
        <w:rPr>
          <w:sz w:val="28"/>
        </w:rPr>
      </w:pPr>
    </w:p>
    <w:p w14:paraId="A3000000">
      <w:pPr>
        <w:widowControl w:val="0"/>
        <w:ind/>
        <w:jc w:val="center"/>
        <w:rPr>
          <w:sz w:val="28"/>
        </w:rPr>
      </w:pPr>
      <w:r>
        <w:rPr>
          <w:sz w:val="28"/>
        </w:rPr>
        <w:t xml:space="preserve">«Статья 16. </w:t>
      </w:r>
      <w:r>
        <w:rPr>
          <w:sz w:val="28"/>
          <w:highlight w:val="magenta"/>
        </w:rPr>
        <w:t>П</w:t>
      </w:r>
      <w:r>
        <w:rPr>
          <w:sz w:val="28"/>
          <w:highlight w:val="magenta"/>
        </w:rPr>
        <w:t>редоставлени</w:t>
      </w:r>
      <w:r>
        <w:rPr>
          <w:sz w:val="28"/>
          <w:highlight w:val="magenta"/>
        </w:rPr>
        <w:t>е</w:t>
      </w:r>
      <w:r>
        <w:rPr>
          <w:sz w:val="28"/>
        </w:rPr>
        <w:t xml:space="preserve"> разрешения на отклонение </w:t>
      </w:r>
      <w:r>
        <w:rPr>
          <w:sz w:val="28"/>
        </w:rPr>
        <w:br/>
      </w:r>
      <w:r>
        <w:rPr>
          <w:sz w:val="28"/>
        </w:rPr>
        <w:t xml:space="preserve">от предельных параметров разрешённого строительства, </w:t>
      </w:r>
      <w:r>
        <w:rPr>
          <w:sz w:val="28"/>
        </w:rPr>
        <w:br/>
      </w:r>
      <w:r>
        <w:rPr>
          <w:sz w:val="28"/>
        </w:rPr>
        <w:t>реконструкции объектов капитального строительства</w:t>
      </w:r>
    </w:p>
    <w:p w14:paraId="A4000000">
      <w:pPr>
        <w:widowControl w:val="0"/>
        <w:ind/>
        <w:jc w:val="center"/>
        <w:rPr>
          <w:b w:val="1"/>
          <w:sz w:val="28"/>
        </w:rPr>
      </w:pPr>
    </w:p>
    <w:p w14:paraId="A5000000">
      <w:pPr>
        <w:widowControl w:val="0"/>
        <w:ind w:firstLine="709"/>
        <w:jc w:val="both"/>
        <w:rPr>
          <w:sz w:val="28"/>
        </w:rPr>
      </w:pPr>
      <w:r>
        <w:rPr>
          <w:sz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расположен</w:t>
      </w:r>
      <w:r>
        <w:rPr>
          <w:sz w:val="28"/>
          <w:highlight w:val="magenta"/>
        </w:rPr>
        <w:t>н</w:t>
      </w:r>
      <w:r>
        <w:rPr>
          <w:sz w:val="28"/>
          <w:highlight w:val="magenta"/>
        </w:rPr>
        <w:t>ых</w:t>
      </w:r>
      <w:r>
        <w:rPr>
          <w:sz w:val="28"/>
        </w:rPr>
        <w:t xml:space="preserve"> в границах Щепкинского сельского поселения, осуществляется в порядке, предусмотренном Градостроительным кодексом Российской Федерации, Земельным кодексом Российской Федерации, Административным регламентом предоставления государственной или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утверждаемым нормативным правовым актом министерства строительства РО, и муниципальными правовыми актами муниципального образования «Аксайский район».».</w:t>
      </w:r>
    </w:p>
    <w:p w14:paraId="A6000000">
      <w:pPr>
        <w:widowControl w:val="0"/>
        <w:ind w:firstLine="709"/>
        <w:jc w:val="both"/>
        <w:rPr>
          <w:sz w:val="28"/>
        </w:rPr>
      </w:pPr>
    </w:p>
    <w:p w14:paraId="A7000000">
      <w:pPr>
        <w:widowControl w:val="0"/>
        <w:ind w:firstLine="709"/>
        <w:jc w:val="both"/>
        <w:rPr>
          <w:sz w:val="28"/>
        </w:rPr>
      </w:pPr>
      <w:r>
        <w:rPr>
          <w:sz w:val="28"/>
          <w:highlight w:val="magenta"/>
        </w:rPr>
        <w:t>1</w:t>
      </w:r>
      <w:r>
        <w:rPr>
          <w:sz w:val="28"/>
          <w:highlight w:val="magenta"/>
        </w:rPr>
        <w:t>1</w:t>
      </w:r>
      <w:r>
        <w:rPr>
          <w:sz w:val="28"/>
          <w:highlight w:val="magenta"/>
        </w:rPr>
        <w:t>.</w:t>
      </w:r>
      <w:r>
        <w:rPr>
          <w:sz w:val="28"/>
        </w:rPr>
        <w:t xml:space="preserve"> Статью 17 изложить в редакции:</w:t>
      </w:r>
    </w:p>
    <w:p w14:paraId="A8000000">
      <w:pPr>
        <w:widowControl w:val="1"/>
        <w:ind w:firstLine="0" w:right="0"/>
        <w:jc w:val="both"/>
        <w:rPr>
          <w:rFonts w:ascii="Times New Roman" w:hAnsi="Times New Roman"/>
          <w:strike w:val="1"/>
          <w:sz w:val="24"/>
        </w:rPr>
      </w:pPr>
    </w:p>
    <w:p w14:paraId="A9000000">
      <w:pPr>
        <w:widowControl w:val="1"/>
        <w:ind w:firstLine="0" w:left="0"/>
        <w:jc w:val="center"/>
        <w:outlineLvl w:val="2"/>
        <w:rPr>
          <w:rFonts w:ascii="Times New Roman" w:hAnsi="Times New Roman"/>
          <w:sz w:val="28"/>
        </w:rPr>
      </w:pPr>
      <w:r>
        <w:rPr>
          <w:rFonts w:ascii="Times New Roman" w:hAnsi="Times New Roman"/>
          <w:sz w:val="28"/>
        </w:rPr>
        <w:t>«Статья 17. Переходные положения</w:t>
      </w:r>
    </w:p>
    <w:p w14:paraId="AA000000">
      <w:pPr>
        <w:rPr>
          <w:sz w:val="28"/>
        </w:rPr>
      </w:pPr>
    </w:p>
    <w:p w14:paraId="AB000000">
      <w:pPr>
        <w:widowControl w:val="1"/>
        <w:ind w:firstLine="709"/>
        <w:jc w:val="both"/>
        <w:rPr>
          <w:sz w:val="28"/>
        </w:rPr>
      </w:pPr>
      <w:r>
        <w:rPr>
          <w:sz w:val="28"/>
        </w:rPr>
        <w:t>1. Принятые до вступления в силу настоящих Правил муниципальные правовые акты Аксайского района и Щепкинского сельского поселения и нормативные правовые акты Ростовской области по вопросам землепользования и застройки применяются в части, не противоречащей настоящим Правилам.</w:t>
      </w:r>
    </w:p>
    <w:p w14:paraId="AC000000">
      <w:pPr>
        <w:widowControl w:val="0"/>
        <w:ind w:firstLine="709"/>
        <w:jc w:val="both"/>
        <w:outlineLvl w:val="2"/>
        <w:rPr>
          <w:sz w:val="28"/>
        </w:rPr>
      </w:pPr>
      <w:r>
        <w:rPr>
          <w:sz w:val="28"/>
        </w:rPr>
        <w:t>2. Виды разрешенного использования и ограничения использования земельных участков и объектов капитального строительства, а также предельные (минимальные и (или) максимальные) размеры и предельные параметры разрешенного строительства, реконструкции объектов капитального строительства, установленные Правилами на момент выдачи разрешения на строительство, являются соответствующими строящемуся объекту капитального строительства на весь период действия разрешения на строительство, если иное не предусмотрено законодательством Российской Федерации.</w:t>
      </w:r>
    </w:p>
    <w:p w14:paraId="AD000000">
      <w:pPr>
        <w:widowControl w:val="1"/>
        <w:ind w:firstLine="709"/>
        <w:jc w:val="both"/>
      </w:pPr>
      <w:r>
        <w:rPr>
          <w:sz w:val="28"/>
        </w:rPr>
        <w:t xml:space="preserve">3. Информация, указанная в градостроительном плане земельного участка, утвержденном до вступления в силу настоящих Правил,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а также для выдачи разрешений на строительство в течение срока действия данного градостроительного плана земельного участка, за исключением случаев применения градостроительного плана земельного участка для </w:t>
      </w:r>
      <w:r>
        <w:rPr>
          <w:sz w:val="28"/>
        </w:rPr>
        <w:t xml:space="preserve">целей многоквартирного жилищного строительства. Многоквартирное жилищное строительство осуществляется в соответствии с требованиями статьи </w:t>
      </w:r>
      <w:r>
        <w:rPr>
          <w:sz w:val="28"/>
          <w:highlight w:val="magenta"/>
        </w:rPr>
        <w:t>1</w:t>
      </w:r>
      <w:r>
        <w:rPr>
          <w:sz w:val="28"/>
          <w:highlight w:val="magenta"/>
        </w:rPr>
        <w:t>4</w:t>
      </w:r>
      <w:r>
        <w:rPr>
          <w:sz w:val="28"/>
          <w:highlight w:val="magenta"/>
        </w:rPr>
        <w:t xml:space="preserve"> Правил</w:t>
      </w:r>
      <w:r>
        <w:rPr>
          <w:sz w:val="28"/>
        </w:rPr>
        <w:t>.».</w:t>
      </w:r>
    </w:p>
    <w:p w14:paraId="AE000000">
      <w:pPr>
        <w:widowControl w:val="1"/>
        <w:ind w:firstLine="709"/>
        <w:jc w:val="both"/>
        <w:rPr>
          <w:sz w:val="28"/>
        </w:rPr>
      </w:pPr>
    </w:p>
    <w:p w14:paraId="AF000000">
      <w:pPr>
        <w:widowControl w:val="1"/>
        <w:ind w:firstLine="709" w:right="0"/>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2</w:t>
      </w:r>
      <w:r>
        <w:rPr>
          <w:rFonts w:ascii="Times New Roman" w:hAnsi="Times New Roman"/>
          <w:sz w:val="28"/>
          <w:highlight w:val="magenta"/>
        </w:rPr>
        <w:t>.</w:t>
      </w:r>
      <w:r>
        <w:rPr>
          <w:rFonts w:ascii="Times New Roman" w:hAnsi="Times New Roman"/>
          <w:sz w:val="28"/>
        </w:rPr>
        <w:t xml:space="preserve"> Раздел 2 изложить в редакции:</w:t>
      </w:r>
    </w:p>
    <w:p w14:paraId="B0000000">
      <w:pPr>
        <w:widowControl w:val="1"/>
        <w:ind w:firstLine="709" w:right="0"/>
        <w:jc w:val="both"/>
        <w:rPr>
          <w:rFonts w:ascii="Times New Roman" w:hAnsi="Times New Roman"/>
          <w:sz w:val="28"/>
        </w:rPr>
      </w:pPr>
    </w:p>
    <w:p w14:paraId="B1000000">
      <w:pPr>
        <w:pStyle w:val="Style_8"/>
        <w:widowControl w:val="1"/>
        <w:spacing w:after="0" w:before="0"/>
        <w:ind/>
        <w:jc w:val="center"/>
        <w:rPr>
          <w:rFonts w:ascii="Times New Roman" w:hAnsi="Times New Roman"/>
          <w:b w:val="0"/>
          <w:sz w:val="28"/>
        </w:rPr>
      </w:pPr>
      <w:r>
        <w:rPr>
          <w:rFonts w:ascii="Times New Roman" w:hAnsi="Times New Roman"/>
          <w:b w:val="0"/>
          <w:sz w:val="28"/>
        </w:rPr>
        <w:t>«Раздел 2. Карта градостроительного зонирования</w:t>
      </w:r>
    </w:p>
    <w:p w14:paraId="B2000000"/>
    <w:p w14:paraId="B3000000">
      <w:pPr>
        <w:pStyle w:val="Style_2"/>
        <w:widowControl w:val="1"/>
        <w:spacing w:after="0" w:before="0"/>
        <w:ind w:firstLine="709"/>
        <w:jc w:val="both"/>
        <w:rPr>
          <w:rFonts w:ascii="Times New Roman" w:hAnsi="Times New Roman"/>
          <w:b w:val="0"/>
          <w:i w:val="0"/>
        </w:rPr>
      </w:pPr>
      <w:r>
        <w:rPr>
          <w:rFonts w:ascii="Times New Roman" w:hAnsi="Times New Roman"/>
          <w:b w:val="0"/>
          <w:i w:val="0"/>
        </w:rPr>
        <w:t>Статья 22. Состав и содержание карты градостроительного зонирования</w:t>
      </w:r>
    </w:p>
    <w:p w14:paraId="B4000000"/>
    <w:p w14:paraId="B5000000">
      <w:pPr>
        <w:widowControl w:val="1"/>
        <w:ind w:firstLine="709"/>
        <w:jc w:val="both"/>
        <w:rPr>
          <w:sz w:val="28"/>
        </w:rPr>
      </w:pPr>
      <w:r>
        <w:rPr>
          <w:sz w:val="28"/>
        </w:rPr>
        <w:t xml:space="preserve">1. На карте градостроительного зонирования в составе </w:t>
      </w:r>
      <w:r>
        <w:rPr>
          <w:sz w:val="28"/>
        </w:rPr>
        <w:t>Правил согласно Градостроительному кодексу Российской Федерации</w:t>
      </w:r>
      <w:r>
        <w:rPr>
          <w:sz w:val="28"/>
        </w:rPr>
        <w:t xml:space="preserve"> устанавливаются границы территориальных зон, а также территории, в границах которых предусматривается осуществление деятельности по комплексному развитию территории </w:t>
      </w:r>
      <w:r>
        <w:rPr>
          <w:sz w:val="28"/>
        </w:rPr>
        <w:br/>
      </w:r>
      <w:r>
        <w:rPr>
          <w:sz w:val="28"/>
        </w:rPr>
        <w:t>и отображаются границы Щепкинского сельского поселения, границы зон с особыми условиями использования территорий, границы территорий объектов культурного наследия.</w:t>
      </w:r>
    </w:p>
    <w:p w14:paraId="B6000000">
      <w:pPr>
        <w:widowControl w:val="0"/>
        <w:ind w:firstLine="709"/>
        <w:jc w:val="both"/>
        <w:outlineLvl w:val="2"/>
        <w:rPr>
          <w:sz w:val="28"/>
        </w:rPr>
      </w:pPr>
      <w:r>
        <w:rPr>
          <w:sz w:val="28"/>
        </w:rPr>
        <w:t>2. Карта градостроительного зонирования Правил состоит из:</w:t>
      </w:r>
    </w:p>
    <w:p w14:paraId="B7000000">
      <w:pPr>
        <w:widowControl w:val="0"/>
        <w:ind w:firstLine="709"/>
        <w:jc w:val="both"/>
        <w:outlineLvl w:val="2"/>
        <w:rPr>
          <w:sz w:val="28"/>
        </w:rPr>
      </w:pPr>
      <w:r>
        <w:rPr>
          <w:sz w:val="28"/>
        </w:rPr>
        <w:t>1) Карты градостроительного зонирования согласно приложению 1;</w:t>
      </w:r>
    </w:p>
    <w:p w14:paraId="B8000000">
      <w:pPr>
        <w:widowControl w:val="0"/>
        <w:ind w:firstLine="709"/>
        <w:jc w:val="both"/>
        <w:outlineLvl w:val="2"/>
        <w:rPr>
          <w:sz w:val="28"/>
        </w:rPr>
      </w:pPr>
      <w:r>
        <w:rPr>
          <w:sz w:val="28"/>
        </w:rPr>
        <w:t>2) Карты границ зон с особыми условиями использования территорий, границ территорий объектов культурного наследия согласно приложению 2;</w:t>
      </w:r>
    </w:p>
    <w:p w14:paraId="B9000000">
      <w:pPr>
        <w:widowControl w:val="0"/>
        <w:ind w:firstLine="709"/>
        <w:jc w:val="both"/>
        <w:outlineLvl w:val="2"/>
        <w:rPr>
          <w:sz w:val="28"/>
        </w:rPr>
      </w:pPr>
      <w:r>
        <w:rPr>
          <w:sz w:val="28"/>
        </w:rPr>
        <w:t>3) Карты территорий, в границах которых предусмотрено осуществление деятельности по комплексному развитию территории согласно приложению 3;</w:t>
      </w:r>
    </w:p>
    <w:p w14:paraId="BA000000">
      <w:pPr>
        <w:widowControl w:val="0"/>
        <w:ind w:firstLine="709"/>
        <w:jc w:val="both"/>
        <w:outlineLvl w:val="2"/>
        <w:rPr>
          <w:sz w:val="28"/>
        </w:rPr>
      </w:pPr>
      <w:r>
        <w:rPr>
          <w:sz w:val="28"/>
        </w:rPr>
        <w:t>4) Карты территорий, в границах которых предусматриваются требования к архитектурно-градостроительному облику объектов капитального строительства согласно приложению 4.</w:t>
      </w:r>
    </w:p>
    <w:p w14:paraId="BB000000">
      <w:pPr>
        <w:widowControl w:val="1"/>
        <w:ind w:firstLine="709"/>
        <w:jc w:val="both"/>
        <w:rPr>
          <w:sz w:val="28"/>
        </w:rPr>
      </w:pPr>
      <w:r>
        <w:rPr>
          <w:sz w:val="28"/>
        </w:rPr>
        <w:t>3. Карта градостроительного зонирования Щепкинского сельского поселения приведена в приложении 1.</w:t>
      </w:r>
    </w:p>
    <w:p w14:paraId="BC000000">
      <w:pPr>
        <w:widowControl w:val="1"/>
        <w:ind w:firstLine="709"/>
        <w:jc w:val="both"/>
        <w:rPr>
          <w:sz w:val="28"/>
        </w:rPr>
      </w:pPr>
    </w:p>
    <w:p w14:paraId="BD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3</w:t>
      </w:r>
      <w:r>
        <w:rPr>
          <w:rFonts w:ascii="Times New Roman" w:hAnsi="Times New Roman"/>
          <w:sz w:val="28"/>
          <w:highlight w:val="magenta"/>
        </w:rPr>
        <w:t>.</w:t>
      </w:r>
      <w:r>
        <w:rPr>
          <w:rFonts w:ascii="Times New Roman" w:hAnsi="Times New Roman"/>
          <w:sz w:val="28"/>
        </w:rPr>
        <w:t xml:space="preserve"> Статью 24 изложить в редакции:</w:t>
      </w:r>
    </w:p>
    <w:p w14:paraId="BE000000">
      <w:pPr>
        <w:widowControl w:val="1"/>
        <w:ind w:firstLine="709"/>
        <w:jc w:val="both"/>
        <w:rPr>
          <w:rFonts w:ascii="Times New Roman" w:hAnsi="Times New Roman"/>
          <w:sz w:val="28"/>
        </w:rPr>
      </w:pPr>
    </w:p>
    <w:p w14:paraId="BF000000">
      <w:pPr>
        <w:widowControl w:val="1"/>
        <w:ind w:firstLine="0"/>
        <w:jc w:val="center"/>
        <w:rPr>
          <w:rFonts w:ascii="Times New Roman" w:hAnsi="Times New Roman"/>
          <w:sz w:val="28"/>
        </w:rPr>
      </w:pPr>
      <w:r>
        <w:rPr>
          <w:rFonts w:ascii="Times New Roman" w:hAnsi="Times New Roman"/>
          <w:sz w:val="28"/>
        </w:rPr>
        <w:t>«Статья 24. Положение о составе градостроительных регламентов</w:t>
      </w:r>
    </w:p>
    <w:p w14:paraId="C0000000">
      <w:pPr>
        <w:widowControl w:val="1"/>
        <w:ind w:firstLine="0"/>
        <w:jc w:val="center"/>
        <w:rPr>
          <w:rFonts w:ascii="Times New Roman" w:hAnsi="Times New Roman"/>
          <w:sz w:val="28"/>
        </w:rPr>
      </w:pPr>
    </w:p>
    <w:p w14:paraId="C1000000">
      <w:pPr>
        <w:widowControl w:val="1"/>
        <w:ind w:firstLine="709"/>
        <w:jc w:val="both"/>
        <w:rPr>
          <w:rFonts w:ascii="Times New Roman" w:hAnsi="Times New Roman"/>
          <w:sz w:val="28"/>
        </w:rPr>
      </w:pPr>
      <w:r>
        <w:rPr>
          <w:rFonts w:ascii="Times New Roman" w:hAnsi="Times New Roman"/>
          <w:sz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C2000000">
      <w:pPr>
        <w:widowControl w:val="1"/>
        <w:ind w:firstLine="709"/>
        <w:jc w:val="both"/>
        <w:rPr>
          <w:rFonts w:ascii="Times New Roman" w:hAnsi="Times New Roman"/>
          <w:sz w:val="28"/>
        </w:rPr>
      </w:pPr>
      <w:r>
        <w:rPr>
          <w:rFonts w:ascii="Times New Roman" w:hAnsi="Times New Roman"/>
          <w:sz w:val="28"/>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w:t>
      </w:r>
      <w:r>
        <w:rPr>
          <w:rFonts w:ascii="Times New Roman" w:hAnsi="Times New Roman"/>
          <w:sz w:val="28"/>
        </w:rPr>
        <w:t>зонирования, за исключением случаев, предусмотренных Земельным кодексом Российской Федерации, Градостроительным кодексом Российской Федерации и иными федеральными законами.».</w:t>
      </w:r>
    </w:p>
    <w:p w14:paraId="C3000000">
      <w:pPr>
        <w:widowControl w:val="1"/>
        <w:ind w:firstLine="709"/>
        <w:jc w:val="both"/>
        <w:rPr>
          <w:rFonts w:ascii="Times New Roman" w:hAnsi="Times New Roman"/>
          <w:sz w:val="28"/>
        </w:rPr>
      </w:pPr>
    </w:p>
    <w:p w14:paraId="C4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4</w:t>
      </w:r>
      <w:r>
        <w:rPr>
          <w:rFonts w:ascii="Times New Roman" w:hAnsi="Times New Roman"/>
          <w:sz w:val="28"/>
          <w:highlight w:val="magenta"/>
        </w:rPr>
        <w:t>.</w:t>
      </w:r>
      <w:r>
        <w:rPr>
          <w:rFonts w:ascii="Times New Roman" w:hAnsi="Times New Roman"/>
          <w:sz w:val="28"/>
        </w:rPr>
        <w:t xml:space="preserve"> Статью 25 изложить в редакции.</w:t>
      </w:r>
    </w:p>
    <w:p w14:paraId="C5000000">
      <w:pPr>
        <w:widowControl w:val="1"/>
        <w:ind w:firstLine="709"/>
        <w:jc w:val="both"/>
        <w:rPr>
          <w:rFonts w:ascii="Times New Roman" w:hAnsi="Times New Roman"/>
          <w:sz w:val="28"/>
        </w:rPr>
      </w:pPr>
    </w:p>
    <w:p w14:paraId="C6000000">
      <w:pPr>
        <w:widowControl w:val="1"/>
        <w:ind w:firstLine="0"/>
        <w:jc w:val="center"/>
        <w:rPr>
          <w:rFonts w:ascii="Times New Roman" w:hAnsi="Times New Roman"/>
          <w:sz w:val="28"/>
        </w:rPr>
      </w:pPr>
      <w:r>
        <w:rPr>
          <w:rFonts w:ascii="Times New Roman" w:hAnsi="Times New Roman"/>
          <w:sz w:val="28"/>
        </w:rPr>
        <w:t>«Статья 25. Положение о порядке применения градостроительных регламентов</w:t>
      </w:r>
    </w:p>
    <w:p w14:paraId="C7000000">
      <w:pPr>
        <w:widowControl w:val="1"/>
        <w:ind w:firstLine="709"/>
        <w:jc w:val="both"/>
        <w:rPr>
          <w:rFonts w:ascii="Times New Roman" w:hAnsi="Times New Roman"/>
          <w:sz w:val="28"/>
        </w:rPr>
      </w:pPr>
    </w:p>
    <w:p w14:paraId="C8000000">
      <w:pPr>
        <w:widowControl w:val="1"/>
        <w:ind w:firstLine="709"/>
        <w:jc w:val="both"/>
        <w:rPr>
          <w:rFonts w:ascii="Times New Roman" w:hAnsi="Times New Roman"/>
          <w:sz w:val="28"/>
        </w:rPr>
      </w:pPr>
      <w:r>
        <w:rPr>
          <w:rFonts w:ascii="Times New Roman" w:hAnsi="Times New Roman"/>
          <w:sz w:val="28"/>
        </w:rPr>
        <w:t>Минимальный процент застройки земельных участков устанавливается в отношении земель, государственная собственность на которые не разграничена.</w:t>
      </w:r>
    </w:p>
    <w:p w14:paraId="C9000000">
      <w:pPr>
        <w:widowControl w:val="1"/>
        <w:ind w:firstLine="709"/>
        <w:jc w:val="both"/>
        <w:rPr>
          <w:rFonts w:ascii="Times New Roman" w:hAnsi="Times New Roman"/>
          <w:sz w:val="28"/>
        </w:rPr>
      </w:pPr>
      <w:r>
        <w:rPr>
          <w:rFonts w:ascii="Times New Roman" w:hAnsi="Times New Roman"/>
          <w:sz w:val="28"/>
        </w:rPr>
        <w:t>Минимальный процент застройки рассчитывается от площади земельного участка, которая может быть застроена.</w:t>
      </w:r>
    </w:p>
    <w:p w14:paraId="CA000000">
      <w:pPr>
        <w:widowControl w:val="1"/>
        <w:ind w:firstLine="709"/>
        <w:jc w:val="both"/>
        <w:rPr>
          <w:rFonts w:ascii="Times New Roman" w:hAnsi="Times New Roman"/>
          <w:sz w:val="28"/>
        </w:rPr>
      </w:pPr>
      <w:r>
        <w:rPr>
          <w:rFonts w:ascii="Times New Roman" w:hAnsi="Times New Roman"/>
          <w:sz w:val="28"/>
        </w:rPr>
        <w:t>Минимальный процент застройки не устанавливается относительно земельного участка, предоставленного по акту выбора земельного участка для целей, связанных со строительством, а также не устанавливается относительно земельного участка, государственная собственность на который не разграничена, в отношении которого до дня установления минимального процента застройки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размещено извещение о проведении аукциона на право заключения договора аренды земельного участка.».</w:t>
      </w:r>
    </w:p>
    <w:p w14:paraId="CB000000">
      <w:pPr>
        <w:widowControl w:val="1"/>
        <w:ind w:firstLine="709"/>
        <w:jc w:val="both"/>
        <w:rPr>
          <w:sz w:val="28"/>
        </w:rPr>
      </w:pPr>
    </w:p>
    <w:p w14:paraId="CC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5</w:t>
      </w:r>
      <w:r>
        <w:rPr>
          <w:rFonts w:ascii="Times New Roman" w:hAnsi="Times New Roman"/>
          <w:sz w:val="28"/>
          <w:highlight w:val="magenta"/>
        </w:rPr>
        <w:t>.</w:t>
      </w:r>
      <w:r>
        <w:rPr>
          <w:rFonts w:ascii="Times New Roman" w:hAnsi="Times New Roman"/>
          <w:sz w:val="28"/>
        </w:rPr>
        <w:t xml:space="preserve"> Статью 26 исключить.</w:t>
      </w:r>
    </w:p>
    <w:p w14:paraId="CD000000">
      <w:pPr>
        <w:widowControl w:val="1"/>
        <w:ind w:firstLine="709"/>
        <w:jc w:val="both"/>
        <w:rPr>
          <w:rFonts w:ascii="Times New Roman" w:hAnsi="Times New Roman"/>
          <w:sz w:val="28"/>
        </w:rPr>
      </w:pPr>
    </w:p>
    <w:p w14:paraId="CE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6</w:t>
      </w:r>
      <w:r>
        <w:rPr>
          <w:rFonts w:ascii="Times New Roman" w:hAnsi="Times New Roman"/>
          <w:sz w:val="28"/>
          <w:highlight w:val="magenta"/>
        </w:rPr>
        <w:t>.</w:t>
      </w:r>
      <w:r>
        <w:rPr>
          <w:rFonts w:ascii="Times New Roman" w:hAnsi="Times New Roman"/>
          <w:sz w:val="28"/>
        </w:rPr>
        <w:t xml:space="preserve"> В статье 28.1 </w:t>
      </w:r>
      <w:r>
        <w:rPr>
          <w:rFonts w:ascii="Times New Roman" w:hAnsi="Times New Roman"/>
          <w:i w:val="1"/>
          <w:sz w:val="28"/>
        </w:rPr>
        <w:t>(регламенты территориальных зон Ж-2/1 – Ж-2/23, Ж-3/1, Ж-3/2, Ж-3/3, Ж-3/4)</w:t>
      </w:r>
      <w:r>
        <w:rPr>
          <w:rFonts w:ascii="Times New Roman" w:hAnsi="Times New Roman"/>
          <w:sz w:val="28"/>
        </w:rPr>
        <w:t xml:space="preserve"> предложения «Размещение объектов капитального строительства осуществляется при условии обязательной подготовки документации по планировке территории. Подготовка документации по планировке территории осуществляется в соответствии с градостроительными регламентами данной территориальной зоны.» исключить.</w:t>
      </w:r>
    </w:p>
    <w:p w14:paraId="CF000000">
      <w:pPr>
        <w:widowControl w:val="1"/>
        <w:ind w:firstLine="709"/>
        <w:jc w:val="both"/>
        <w:rPr>
          <w:rFonts w:ascii="Times New Roman" w:hAnsi="Times New Roman"/>
          <w:sz w:val="28"/>
        </w:rPr>
      </w:pPr>
    </w:p>
    <w:p w14:paraId="D0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7</w:t>
      </w:r>
      <w:r>
        <w:rPr>
          <w:rFonts w:ascii="Times New Roman" w:hAnsi="Times New Roman"/>
          <w:sz w:val="28"/>
          <w:highlight w:val="magenta"/>
        </w:rPr>
        <w:t>.</w:t>
      </w:r>
      <w:r>
        <w:rPr>
          <w:rFonts w:ascii="Times New Roman" w:hAnsi="Times New Roman"/>
          <w:sz w:val="28"/>
        </w:rPr>
        <w:t xml:space="preserve"> Абзац второй статьи 28.2 исключить.</w:t>
      </w:r>
    </w:p>
    <w:p w14:paraId="D1000000">
      <w:pPr>
        <w:widowControl w:val="1"/>
        <w:ind w:firstLine="709"/>
        <w:jc w:val="both"/>
        <w:rPr>
          <w:rFonts w:ascii="Times New Roman" w:hAnsi="Times New Roman"/>
          <w:sz w:val="28"/>
        </w:rPr>
      </w:pPr>
    </w:p>
    <w:p w14:paraId="D2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8</w:t>
      </w:r>
      <w:r>
        <w:rPr>
          <w:rFonts w:ascii="Times New Roman" w:hAnsi="Times New Roman"/>
          <w:sz w:val="28"/>
          <w:highlight w:val="magenta"/>
        </w:rPr>
        <w:t>.</w:t>
      </w:r>
      <w:r>
        <w:rPr>
          <w:rFonts w:ascii="Times New Roman" w:hAnsi="Times New Roman"/>
          <w:sz w:val="28"/>
        </w:rPr>
        <w:t xml:space="preserve"> Абзацы третий, четырнадцатый, двадцать шестой, тридцать седьмой, сорок девятый статьи 28.3 исключить.</w:t>
      </w:r>
    </w:p>
    <w:p w14:paraId="D3000000">
      <w:pPr>
        <w:widowControl w:val="1"/>
        <w:ind w:firstLine="709"/>
        <w:jc w:val="both"/>
        <w:rPr>
          <w:sz w:val="28"/>
        </w:rPr>
      </w:pPr>
    </w:p>
    <w:p w14:paraId="D4000000">
      <w:pPr>
        <w:widowControl w:val="1"/>
        <w:ind w:firstLine="709"/>
        <w:jc w:val="both"/>
        <w:rPr>
          <w:rFonts w:ascii="Times New Roman" w:hAnsi="Times New Roman"/>
          <w:sz w:val="28"/>
        </w:rPr>
      </w:pPr>
      <w:r>
        <w:rPr>
          <w:rFonts w:ascii="Times New Roman" w:hAnsi="Times New Roman"/>
          <w:sz w:val="28"/>
          <w:highlight w:val="magenta"/>
        </w:rPr>
        <w:t>1</w:t>
      </w:r>
      <w:r>
        <w:rPr>
          <w:rFonts w:ascii="Times New Roman" w:hAnsi="Times New Roman"/>
          <w:sz w:val="28"/>
          <w:highlight w:val="magenta"/>
        </w:rPr>
        <w:t>9</w:t>
      </w:r>
      <w:r>
        <w:rPr>
          <w:rFonts w:ascii="Times New Roman" w:hAnsi="Times New Roman"/>
          <w:sz w:val="28"/>
          <w:highlight w:val="magenta"/>
        </w:rPr>
        <w:t>.</w:t>
      </w:r>
      <w:r>
        <w:rPr>
          <w:rFonts w:ascii="Times New Roman" w:hAnsi="Times New Roman"/>
          <w:sz w:val="28"/>
        </w:rPr>
        <w:t> </w:t>
      </w:r>
      <w:r>
        <w:rPr>
          <w:rFonts w:ascii="Times New Roman" w:hAnsi="Times New Roman"/>
          <w:sz w:val="28"/>
        </w:rPr>
        <w:t>Дополнить статьей 28.9 следующего содержания:</w:t>
      </w:r>
    </w:p>
    <w:p w14:paraId="D5000000">
      <w:pPr>
        <w:widowControl w:val="1"/>
        <w:ind w:firstLine="709"/>
        <w:jc w:val="both"/>
        <w:rPr>
          <w:rFonts w:ascii="Times New Roman" w:hAnsi="Times New Roman"/>
          <w:sz w:val="28"/>
        </w:rPr>
      </w:pPr>
    </w:p>
    <w:p w14:paraId="D6000000">
      <w:pPr>
        <w:widowControl w:val="1"/>
        <w:ind w:firstLine="709"/>
        <w:jc w:val="center"/>
        <w:rPr>
          <w:rFonts w:ascii="Times New Roman" w:hAnsi="Times New Roman"/>
          <w:sz w:val="28"/>
        </w:rPr>
      </w:pPr>
      <w:r>
        <w:rPr>
          <w:rFonts w:ascii="Times New Roman" w:hAnsi="Times New Roman"/>
          <w:sz w:val="28"/>
        </w:rPr>
        <w:t>«Статья 28.9. Градостроительные регламенты в части требований к архитектурно-градостроительному облику объектов капитального строительства</w:t>
      </w:r>
    </w:p>
    <w:p w14:paraId="D7000000">
      <w:pPr>
        <w:widowControl w:val="1"/>
        <w:ind w:firstLine="709"/>
        <w:jc w:val="both"/>
        <w:rPr>
          <w:b w:val="1"/>
          <w:sz w:val="28"/>
        </w:rPr>
      </w:pPr>
    </w:p>
    <w:p w14:paraId="D8000000">
      <w:pPr>
        <w:widowControl w:val="1"/>
        <w:ind w:firstLine="709"/>
        <w:jc w:val="both"/>
        <w:rPr>
          <w:sz w:val="28"/>
        </w:rPr>
      </w:pPr>
      <w:r>
        <w:rPr>
          <w:sz w:val="28"/>
        </w:rPr>
        <w:t xml:space="preserve">1.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w:t>
      </w:r>
      <w:r>
        <w:rPr>
          <w:sz w:val="28"/>
        </w:rPr>
        <w:t>Федерации, если иное не предусмотрено Градостроительным Кодексом Российской Федерации.</w:t>
      </w:r>
    </w:p>
    <w:p w14:paraId="D9000000">
      <w:pPr>
        <w:widowControl w:val="1"/>
        <w:ind w:firstLine="709"/>
        <w:jc w:val="both"/>
        <w:rPr>
          <w:sz w:val="28"/>
        </w:rPr>
      </w:pPr>
      <w:r>
        <w:rPr>
          <w:sz w:val="28"/>
        </w:rPr>
        <w:t xml:space="preserve">2. На территории Щепкинского сельского поселения устанавливается две зоны регулирования архитектурно-градостроительного облика объектов капитального строительства: </w:t>
      </w:r>
    </w:p>
    <w:p w14:paraId="DA000000">
      <w:pPr>
        <w:widowControl w:val="1"/>
        <w:ind w:firstLine="709"/>
        <w:jc w:val="both"/>
        <w:rPr>
          <w:sz w:val="28"/>
        </w:rPr>
      </w:pPr>
      <w:r>
        <w:rPr>
          <w:sz w:val="28"/>
        </w:rPr>
        <w:t>зона регулирования архитектурно-градостроительного облика объектов капитального строительства вдоль основных транспортных магистралей;</w:t>
      </w:r>
    </w:p>
    <w:p w14:paraId="DB000000">
      <w:pPr>
        <w:widowControl w:val="1"/>
        <w:ind w:firstLine="709"/>
        <w:jc w:val="both"/>
        <w:rPr>
          <w:sz w:val="28"/>
        </w:rPr>
      </w:pPr>
      <w:r>
        <w:rPr>
          <w:sz w:val="28"/>
        </w:rPr>
        <w:t>зона регулирования архитектурно-градостроительного облика объектов капитального строительства на территориях, в границах которых предусматривается осуществление деятельности по комплексному развитию территории.</w:t>
      </w:r>
    </w:p>
    <w:p w14:paraId="DC000000">
      <w:pPr>
        <w:widowControl w:val="1"/>
        <w:ind w:firstLine="709"/>
        <w:jc w:val="both"/>
        <w:rPr>
          <w:sz w:val="28"/>
        </w:rPr>
      </w:pPr>
      <w:r>
        <w:rPr>
          <w:sz w:val="28"/>
        </w:rPr>
        <w:t>Зоны устанавливается в соответствии с графическим приложением к Правилам «Карта территорий, в границах которых предусматриваются требования к архитектурно-градостроительному облику объектов капитального строительства».</w:t>
      </w:r>
    </w:p>
    <w:p w14:paraId="DD000000">
      <w:pPr>
        <w:widowControl w:val="1"/>
        <w:ind w:firstLine="709"/>
        <w:jc w:val="both"/>
        <w:rPr>
          <w:sz w:val="28"/>
        </w:rPr>
      </w:pPr>
      <w:r>
        <w:rPr>
          <w:sz w:val="28"/>
        </w:rPr>
        <w:t>3. Целью регулирования архитектурно-градостроительного облика в границах зоны регулирования архитектурно-градостроительного облика объектов капитального строительства вдоль основных транспортных магистралей (далее – зона</w:t>
      </w:r>
      <w:r>
        <w:rPr>
          <w:sz w:val="28"/>
        </w:rPr>
        <w:t> </w:t>
      </w:r>
      <w:r>
        <w:rPr>
          <w:sz w:val="28"/>
        </w:rPr>
        <w:t>1) является создание композиционно сбалансированной застройки.</w:t>
      </w:r>
    </w:p>
    <w:p w14:paraId="DE000000">
      <w:pPr>
        <w:widowControl w:val="1"/>
        <w:ind w:firstLine="709"/>
        <w:jc w:val="both"/>
        <w:rPr>
          <w:sz w:val="28"/>
        </w:rPr>
      </w:pPr>
      <w:r>
        <w:rPr>
          <w:sz w:val="28"/>
        </w:rPr>
        <w:t> Требования к архитектурно-градостроительному облику объектов, расположенных в зоне 1:</w:t>
      </w:r>
    </w:p>
    <w:p w14:paraId="DF000000">
      <w:pPr>
        <w:widowControl w:val="1"/>
        <w:ind w:firstLine="709"/>
        <w:jc w:val="both"/>
        <w:rPr>
          <w:sz w:val="28"/>
        </w:rPr>
      </w:pPr>
      <w:r>
        <w:rPr>
          <w:sz w:val="28"/>
        </w:rPr>
        <w:t>а) требования к объемно-планировочным характеристикам объектов:</w:t>
      </w:r>
    </w:p>
    <w:p w14:paraId="E0000000">
      <w:pPr>
        <w:widowControl w:val="1"/>
        <w:ind w:firstLine="709"/>
        <w:jc w:val="both"/>
        <w:rPr>
          <w:sz w:val="28"/>
        </w:rPr>
      </w:pPr>
      <w:r>
        <w:rPr>
          <w:sz w:val="28"/>
        </w:rPr>
        <w:t>максимальная высота зданий, строений и сооружений принимается не выше максимальной высоты объектов капитального строительства, установленной Правилами в составе градостроительных регламентов соответствующей территориальной зоны.</w:t>
      </w:r>
    </w:p>
    <w:p w14:paraId="E1000000">
      <w:pPr>
        <w:widowControl w:val="1"/>
        <w:ind w:firstLine="709"/>
        <w:jc w:val="both"/>
        <w:rPr>
          <w:sz w:val="28"/>
        </w:rPr>
      </w:pPr>
      <w:r>
        <w:rPr>
          <w:sz w:val="28"/>
        </w:rPr>
        <w:t>Размещение доминантных объектов допускается в рамках обогащения силуэта вдоль основных магистралей при условии формирования его единого архитектурно-художественного образа в зрительном восприятии из ближних и дальних видовых точек.</w:t>
      </w:r>
    </w:p>
    <w:p w14:paraId="E2000000">
      <w:pPr>
        <w:widowControl w:val="1"/>
        <w:ind w:firstLine="709"/>
        <w:jc w:val="both"/>
        <w:rPr>
          <w:sz w:val="28"/>
        </w:rPr>
      </w:pPr>
      <w:r>
        <w:rPr>
          <w:sz w:val="28"/>
        </w:rPr>
        <w:t>б) требования к стилистическим характеристикам зданий, строений и сооружений: не устанавливаются;</w:t>
      </w:r>
    </w:p>
    <w:p w14:paraId="E3000000">
      <w:pPr>
        <w:widowControl w:val="1"/>
        <w:ind w:firstLine="709"/>
        <w:jc w:val="both"/>
        <w:rPr>
          <w:sz w:val="28"/>
        </w:rPr>
      </w:pPr>
      <w:r>
        <w:rPr>
          <w:sz w:val="28"/>
        </w:rPr>
        <w:t>в) требования к цветовым решениям объектов капитального строительства:</w:t>
      </w:r>
    </w:p>
    <w:p w14:paraId="E4000000">
      <w:pPr>
        <w:widowControl w:val="1"/>
        <w:ind w:firstLine="709"/>
        <w:jc w:val="both"/>
        <w:rPr>
          <w:color w:val="FB290D"/>
          <w:sz w:val="28"/>
        </w:rPr>
      </w:pPr>
      <w:r>
        <w:rPr>
          <w:sz w:val="28"/>
        </w:rPr>
        <w:t>при строительстве или реконструкции объекта капитального строительства не допускается фрагментарная цветовая отделка фасадов – частичная облицовка или окраска отдельных участков фасада, которая нарушает целостность и единое архитектурно-художественное решение фасада;</w:t>
      </w:r>
    </w:p>
    <w:p w14:paraId="E5000000">
      <w:pPr>
        <w:widowControl w:val="1"/>
        <w:ind w:firstLine="709"/>
        <w:jc w:val="both"/>
        <w:rPr>
          <w:sz w:val="28"/>
        </w:rPr>
      </w:pPr>
      <w:r>
        <w:rPr>
          <w:sz w:val="28"/>
        </w:rPr>
        <w:t xml:space="preserve">г) требования к отделочным и (или) строительным материалам объектов капитального строительства: </w:t>
      </w:r>
    </w:p>
    <w:p w14:paraId="E6000000">
      <w:pPr>
        <w:widowControl w:val="1"/>
        <w:ind w:firstLine="709"/>
        <w:jc w:val="both"/>
        <w:rPr>
          <w:sz w:val="28"/>
        </w:rPr>
      </w:pPr>
      <w:r>
        <w:rPr>
          <w:sz w:val="28"/>
        </w:rPr>
        <w:t>при выборе материалов фасадов, планируемых к строительству (реконструкции) объектов капитального строительства, необходимо отдавать предпочтение природным материалам:</w:t>
      </w:r>
    </w:p>
    <w:p w14:paraId="E7000000">
      <w:pPr>
        <w:widowControl w:val="1"/>
        <w:ind w:firstLine="709"/>
        <w:jc w:val="both"/>
        <w:rPr>
          <w:sz w:val="28"/>
        </w:rPr>
      </w:pPr>
      <w:r>
        <w:rPr>
          <w:sz w:val="28"/>
        </w:rPr>
        <w:t xml:space="preserve">варианты отделки стен − оштукатуренные поверхности, кирпичная кладка одного цвета и сочетающихся цветов; облицовка клинкерной, керамической, в том числе керамогранитной плиткой, </w:t>
      </w:r>
      <w:r>
        <w:rPr>
          <w:sz w:val="28"/>
        </w:rPr>
        <w:t>фиброцементными</w:t>
      </w:r>
      <w:r>
        <w:rPr>
          <w:sz w:val="28"/>
        </w:rPr>
        <w:t xml:space="preserve"> панелями и естественным камнем; использование вентилируемого фасада с облицовкой клинкерной, </w:t>
      </w:r>
      <w:r>
        <w:rPr>
          <w:sz w:val="28"/>
        </w:rPr>
        <w:t xml:space="preserve">керамической, в том числе керамогранитной плиткой, </w:t>
      </w:r>
      <w:r>
        <w:rPr>
          <w:sz w:val="28"/>
        </w:rPr>
        <w:t>фиброцементным</w:t>
      </w:r>
      <w:r>
        <w:rPr>
          <w:sz w:val="28"/>
        </w:rPr>
        <w:t xml:space="preserve"> сайдингом, естественным камнем или металлическими кассетами с полимерным покрытием.</w:t>
      </w:r>
    </w:p>
    <w:p w14:paraId="E8000000">
      <w:pPr>
        <w:widowControl w:val="1"/>
        <w:ind w:firstLine="709"/>
        <w:jc w:val="both"/>
        <w:rPr>
          <w:sz w:val="28"/>
        </w:rPr>
      </w:pPr>
      <w:r>
        <w:rPr>
          <w:sz w:val="28"/>
        </w:rPr>
        <w:t>Не допускается для использования в отделке:</w:t>
      </w:r>
    </w:p>
    <w:p w14:paraId="E9000000">
      <w:pPr>
        <w:widowControl w:val="1"/>
        <w:ind w:firstLine="709"/>
        <w:jc w:val="both"/>
        <w:rPr>
          <w:sz w:val="28"/>
        </w:rPr>
      </w:pPr>
      <w:r>
        <w:rPr>
          <w:sz w:val="28"/>
        </w:rPr>
        <w:t>асбестоцементный лист, металлический и пластиковый (виниловый) сайдинг (за исключением объектов индивидуальной жилой застройки и объектов капитального строительства, расположенных на территориях промышленных предприятий, в глубине застройки и не просматриваемых с улиц и дорог местного значения),</w:t>
      </w:r>
    </w:p>
    <w:p w14:paraId="EA000000">
      <w:pPr>
        <w:widowControl w:val="1"/>
        <w:ind w:firstLine="709"/>
        <w:jc w:val="both"/>
        <w:rPr>
          <w:sz w:val="28"/>
        </w:rPr>
      </w:pPr>
      <w:r>
        <w:rPr>
          <w:sz w:val="28"/>
        </w:rPr>
        <w:t>металлический профилированный лист (кроме кровли и кровельных конструкций), сотовый поликарбонат, поливинилхлоридные панели (за исключением HPL-панелей с имитацией дерева), сэндвич-панели без декоративного полимерного покрытия;</w:t>
      </w:r>
    </w:p>
    <w:p w14:paraId="EB000000">
      <w:pPr>
        <w:widowControl w:val="1"/>
        <w:ind w:firstLine="709"/>
        <w:jc w:val="both"/>
        <w:rPr>
          <w:sz w:val="28"/>
        </w:rPr>
      </w:pPr>
      <w:r>
        <w:rPr>
          <w:sz w:val="28"/>
        </w:rPr>
        <w:t>д) требования к консольным выступающим элементам фасадов зданий, строений и сооружений не подлежат установлению;</w:t>
      </w:r>
    </w:p>
    <w:p w14:paraId="EC000000">
      <w:pPr>
        <w:widowControl w:val="1"/>
        <w:ind w:firstLine="709"/>
        <w:jc w:val="both"/>
        <w:rPr>
          <w:sz w:val="28"/>
        </w:rPr>
      </w:pPr>
      <w:r>
        <w:rPr>
          <w:sz w:val="28"/>
        </w:rPr>
        <w:t xml:space="preserve">е) требования к организации входных групп, дверных и оконных проемов зданий, сооружений: </w:t>
      </w:r>
    </w:p>
    <w:p w14:paraId="ED000000">
      <w:pPr>
        <w:widowControl w:val="1"/>
        <w:ind w:firstLine="709"/>
        <w:jc w:val="both"/>
        <w:rPr>
          <w:sz w:val="28"/>
        </w:rPr>
      </w:pPr>
      <w:r>
        <w:rPr>
          <w:sz w:val="28"/>
        </w:rPr>
        <w:t xml:space="preserve">расположение входных групп, окон и витрин на фасадах объектов, их габариты, характер устройства и внешний вид, материал и цвет должны соответствовать архитектурному облику фасадов проектируемого или реконструируемого объекта, обеспечивать подчинение системе горизонтальных и вертикальных осей, членению фасадов объектов с учетом принятых приемов архитектурно-художественной композиции объемно-пространственного построения объектов (симметрия-асимметрия, </w:t>
      </w:r>
      <w:r>
        <w:rPr>
          <w:sz w:val="28"/>
        </w:rPr>
        <w:t>сомасштабность</w:t>
      </w:r>
      <w:r>
        <w:rPr>
          <w:sz w:val="28"/>
        </w:rPr>
        <w:t xml:space="preserve"> и т.д.);</w:t>
      </w:r>
    </w:p>
    <w:p w14:paraId="EE000000">
      <w:pPr>
        <w:widowControl w:val="1"/>
        <w:ind w:firstLine="709"/>
        <w:jc w:val="both"/>
        <w:rPr>
          <w:sz w:val="28"/>
        </w:rPr>
      </w:pPr>
      <w:r>
        <w:rPr>
          <w:sz w:val="28"/>
        </w:rPr>
        <w:t xml:space="preserve">ж) требования к объемно-планировочным характеристикам первых этажей зданий: </w:t>
      </w:r>
    </w:p>
    <w:p w14:paraId="EF000000">
      <w:pPr>
        <w:widowControl w:val="1"/>
        <w:ind w:firstLine="709"/>
        <w:jc w:val="both"/>
        <w:rPr>
          <w:sz w:val="28"/>
        </w:rPr>
      </w:pPr>
      <w:r>
        <w:rPr>
          <w:sz w:val="28"/>
        </w:rPr>
        <w:t>первые этажи должны иметь единое архитектурное и колористическое решение в пределах всего периметра фасада с привязкой к композиционным осям проёмов и объёмов здания;</w:t>
      </w:r>
    </w:p>
    <w:p w14:paraId="F0000000">
      <w:pPr>
        <w:widowControl w:val="1"/>
        <w:ind w:firstLine="709"/>
        <w:jc w:val="both"/>
        <w:rPr>
          <w:sz w:val="28"/>
        </w:rPr>
      </w:pPr>
      <w:r>
        <w:rPr>
          <w:sz w:val="28"/>
        </w:rPr>
        <w:t>з) требования к остеклению фасадов зданий, строений и сооружений:</w:t>
      </w:r>
    </w:p>
    <w:p w14:paraId="F1000000">
      <w:pPr>
        <w:widowControl w:val="1"/>
        <w:ind w:firstLine="709"/>
        <w:jc w:val="both"/>
        <w:rPr>
          <w:sz w:val="28"/>
        </w:rPr>
      </w:pPr>
      <w:r>
        <w:rPr>
          <w:sz w:val="28"/>
        </w:rPr>
        <w:t>не допускается применение цветного и (или) зеркального остекления, в том числе использование самоклеящейся плёнки;</w:t>
      </w:r>
    </w:p>
    <w:p w14:paraId="F2000000">
      <w:pPr>
        <w:widowControl w:val="1"/>
        <w:ind w:firstLine="709"/>
        <w:jc w:val="both"/>
        <w:rPr>
          <w:sz w:val="28"/>
        </w:rPr>
      </w:pPr>
      <w:r>
        <w:rPr>
          <w:sz w:val="28"/>
        </w:rPr>
        <w:t>и) техническое и инженерное оборудование (в том числе вентиляции и кондиционирования воздуха, газоснабжения, освещения, связи) допускается размещать с использованием маскирующих ограждений, коробов в соответствии со схемой размещения технических устройств, учитывающих стилистику и архитектурное решение фасада объекта, оснащать кабель-каналами, скрытыми за фасадом или замаскированными в тон колера соответствующей плоскости фасада.</w:t>
      </w:r>
    </w:p>
    <w:p w14:paraId="F3000000">
      <w:pPr>
        <w:widowControl w:val="1"/>
        <w:ind w:firstLine="709"/>
        <w:jc w:val="both"/>
        <w:rPr>
          <w:sz w:val="28"/>
        </w:rPr>
      </w:pPr>
      <w:r>
        <w:rPr>
          <w:sz w:val="28"/>
        </w:rPr>
        <w:t>Допускается отклонение от указанных требований в случае размещения технического и инженерного оборудования на фасадах объектов и скатах кровли, обращенных вглубь участка, на котором расположен объект капитального строительства, не просматриваемых с основных транспортных магистралей.</w:t>
      </w:r>
    </w:p>
    <w:p w14:paraId="F4000000">
      <w:pPr>
        <w:widowControl w:val="1"/>
        <w:ind w:firstLine="709"/>
        <w:jc w:val="both"/>
        <w:rPr>
          <w:sz w:val="28"/>
        </w:rPr>
      </w:pPr>
      <w:r>
        <w:rPr>
          <w:sz w:val="28"/>
        </w:rPr>
        <w:t>Требования не распространяются на светотехническое оборудование декоративной подсветки и оборудование видеонаблюдения.</w:t>
      </w:r>
    </w:p>
    <w:p w14:paraId="F5000000">
      <w:pPr>
        <w:widowControl w:val="1"/>
        <w:ind w:firstLine="709"/>
        <w:jc w:val="both"/>
        <w:rPr>
          <w:sz w:val="28"/>
        </w:rPr>
      </w:pPr>
      <w:r>
        <w:rPr>
          <w:sz w:val="28"/>
        </w:rPr>
        <w:t xml:space="preserve">к) Главные фасады строящихся и реконструируемых объектов, расположенных вдоль основных транспортных магистралей, оборудуются декоративной подсветкой </w:t>
      </w:r>
      <w:r>
        <w:rPr>
          <w:sz w:val="28"/>
        </w:rPr>
        <w:t>(цветовая температура (</w:t>
      </w:r>
      <w:r>
        <w:rPr>
          <w:sz w:val="28"/>
        </w:rPr>
        <w:t>Тц</w:t>
      </w:r>
      <w:r>
        <w:rPr>
          <w:sz w:val="28"/>
        </w:rPr>
        <w:t>) в диапазоне 2000-2700К, за исключением дополнительной, праздничной подсветки) путем сочетаний фоновой, линейной, точечной подсветок, а также отдельно.</w:t>
      </w:r>
    </w:p>
    <w:p w14:paraId="F6000000">
      <w:pPr>
        <w:widowControl w:val="1"/>
        <w:ind w:firstLine="709"/>
        <w:jc w:val="both"/>
        <w:rPr>
          <w:sz w:val="28"/>
          <w:shd w:fill="95BFFF" w:val="clear"/>
        </w:rPr>
      </w:pPr>
      <w:r>
        <w:rPr>
          <w:sz w:val="28"/>
          <w:shd w:fill="95BFFF" w:val="clear"/>
        </w:rPr>
        <w:t>4. Целью регулирования архитектурно-градостроительного облика объектов в границах зоны регулирования архитектурно-градостроительного облика объектов капитального строительства на территориях, в границах которых предусматривается осуществление деятельности по комплексному развитию территории</w:t>
      </w:r>
      <w:r>
        <w:rPr>
          <w:sz w:val="28"/>
          <w:shd w:fill="95BFFF" w:val="clear"/>
        </w:rPr>
        <w:t xml:space="preserve"> </w:t>
      </w:r>
      <w:r>
        <w:rPr>
          <w:sz w:val="28"/>
        </w:rPr>
        <w:t xml:space="preserve"> </w:t>
      </w:r>
      <w:r>
        <w:rPr>
          <w:sz w:val="28"/>
          <w:highlight w:val="magenta"/>
        </w:rPr>
        <w:t>(далее – зона </w:t>
      </w:r>
      <w:r>
        <w:rPr>
          <w:sz w:val="28"/>
          <w:highlight w:val="magenta"/>
        </w:rPr>
        <w:t>2</w:t>
      </w:r>
      <w:r>
        <w:rPr>
          <w:sz w:val="28"/>
          <w:highlight w:val="magenta"/>
        </w:rPr>
        <w:t>)</w:t>
      </w:r>
      <w:r>
        <w:rPr>
          <w:sz w:val="28"/>
          <w:shd w:fill="95BFFF" w:val="clear"/>
        </w:rPr>
        <w:t>, является создание новой и развитие существующей жилой застройки, обеспечивающей формирование сбалансированной комфортной среды, пространственных и архитектурно-стилистических взаимосвязей между объектами жилой застройки и объектами обслуживания».</w:t>
      </w:r>
    </w:p>
    <w:p w14:paraId="F7000000">
      <w:pPr>
        <w:widowControl w:val="1"/>
        <w:ind w:firstLine="709"/>
        <w:jc w:val="both"/>
        <w:rPr>
          <w:sz w:val="28"/>
          <w:shd w:fill="95BFFF" w:val="clear"/>
        </w:rPr>
      </w:pPr>
      <w:r>
        <w:rPr>
          <w:sz w:val="28"/>
          <w:shd w:fill="95BFFF" w:val="clear"/>
        </w:rPr>
        <w:t>Требования к архитектурно-градостроительному облику объектов, расположенных в зоне 2 регулирования архитектурно-градостроительного облика объектов капитального строительства на территориях, в границах которых предусматривается осуществление деятельности по комплексному развитию территории:</w:t>
      </w:r>
    </w:p>
    <w:p w14:paraId="F8000000">
      <w:pPr>
        <w:widowControl w:val="1"/>
        <w:ind w:firstLine="709"/>
        <w:jc w:val="both"/>
        <w:rPr>
          <w:sz w:val="28"/>
          <w:shd w:fill="95BFFF" w:val="clear"/>
        </w:rPr>
      </w:pPr>
      <w:r>
        <w:rPr>
          <w:sz w:val="28"/>
          <w:shd w:fill="95BFFF" w:val="clear"/>
        </w:rPr>
        <w:t>а) требования к объемно-планировочным характеристикам зданий, строений и сооружений: максимальная высота зданий, строений и сооружений принимается не выше максимальной высоты объектов капитального строительства, установленной Правилами в составе градостроительных регламентов соответствующей территориальной зоны.</w:t>
      </w:r>
    </w:p>
    <w:p w14:paraId="F9000000">
      <w:pPr>
        <w:widowControl w:val="1"/>
        <w:ind w:firstLine="709"/>
        <w:jc w:val="both"/>
        <w:rPr>
          <w:sz w:val="28"/>
          <w:shd w:fill="95BFFF" w:val="clear"/>
        </w:rPr>
      </w:pPr>
      <w:r>
        <w:rPr>
          <w:sz w:val="28"/>
          <w:shd w:fill="95BFFF" w:val="clear"/>
        </w:rPr>
        <w:t>б) требования к стилистическим характеристикам зданий, строений</w:t>
      </w:r>
      <w:r>
        <w:rPr>
          <w:sz w:val="28"/>
          <w:shd w:fill="95BFFF" w:val="clear"/>
        </w:rPr>
        <w:br/>
      </w:r>
      <w:r>
        <w:rPr>
          <w:sz w:val="28"/>
          <w:shd w:fill="95BFFF" w:val="clear"/>
        </w:rPr>
        <w:t>и сооружений не подлежат установлению;</w:t>
      </w:r>
    </w:p>
    <w:p w14:paraId="FA000000">
      <w:pPr>
        <w:widowControl w:val="1"/>
        <w:ind w:firstLine="709"/>
        <w:jc w:val="both"/>
        <w:rPr>
          <w:sz w:val="28"/>
          <w:shd w:fill="95BFFF" w:val="clear"/>
        </w:rPr>
      </w:pPr>
      <w:r>
        <w:rPr>
          <w:sz w:val="28"/>
          <w:shd w:fill="95BFFF" w:val="clear"/>
        </w:rPr>
        <w:t xml:space="preserve">в) требования к цветовым решениям объектов капитального </w:t>
      </w:r>
      <w:r>
        <w:rPr>
          <w:sz w:val="28"/>
          <w:shd w:fill="95BFFF" w:val="clear"/>
        </w:rPr>
        <w:t>строительства:  при</w:t>
      </w:r>
      <w:r>
        <w:rPr>
          <w:sz w:val="28"/>
          <w:shd w:fill="95BFFF" w:val="clear"/>
        </w:rPr>
        <w:t xml:space="preserve"> строительстве или реконструкции объекта капитального строительства не допускается фрагментарная цветовая отделка фасадов здания – частичная облицовка или окраска отдельных участков фасада, которая нарушает целостность и единое архитектурно-художественное решение фасада;</w:t>
      </w:r>
    </w:p>
    <w:p w14:paraId="FB000000">
      <w:pPr>
        <w:widowControl w:val="1"/>
        <w:ind w:firstLine="709"/>
        <w:jc w:val="both"/>
        <w:rPr>
          <w:sz w:val="28"/>
          <w:shd w:fill="95BFFF" w:val="clear"/>
        </w:rPr>
      </w:pPr>
      <w:r>
        <w:rPr>
          <w:sz w:val="28"/>
          <w:shd w:fill="95BFFF" w:val="clear"/>
        </w:rPr>
        <w:t>г) требования к отделочным и (или) строительным материалам объектов капитального строительства:</w:t>
      </w:r>
    </w:p>
    <w:p w14:paraId="FC000000">
      <w:pPr>
        <w:widowControl w:val="1"/>
        <w:ind w:firstLine="709"/>
        <w:jc w:val="both"/>
        <w:rPr>
          <w:sz w:val="28"/>
          <w:shd w:fill="95BFFF" w:val="clear"/>
        </w:rPr>
      </w:pPr>
      <w:r>
        <w:rPr>
          <w:sz w:val="28"/>
          <w:shd w:fill="95BFFF" w:val="clear"/>
        </w:rPr>
        <w:t>при выборе материалов фасадов, планируемых к строительству (реконструкции) объектов капитального строительства, необходимо отдавать предпочтение природным материалам:</w:t>
      </w:r>
    </w:p>
    <w:p w14:paraId="FD000000">
      <w:pPr>
        <w:widowControl w:val="1"/>
        <w:ind w:firstLine="709"/>
        <w:jc w:val="both"/>
        <w:rPr>
          <w:sz w:val="28"/>
          <w:shd w:fill="95BFFF" w:val="clear"/>
        </w:rPr>
      </w:pPr>
      <w:r>
        <w:rPr>
          <w:sz w:val="28"/>
          <w:shd w:fill="95BFFF" w:val="clear"/>
        </w:rPr>
        <w:t xml:space="preserve">варианты отделки стен − оштукатуренные поверхности, кирпичная кладка одного цвета и сочетающихся цветов; облицовка клинкерной, керамической, в том числе керамогранитной плиткой, </w:t>
      </w:r>
      <w:r>
        <w:rPr>
          <w:sz w:val="28"/>
          <w:shd w:fill="95BFFF" w:val="clear"/>
        </w:rPr>
        <w:t>фиброцементными</w:t>
      </w:r>
      <w:r>
        <w:rPr>
          <w:sz w:val="28"/>
          <w:shd w:fill="95BFFF" w:val="clear"/>
        </w:rPr>
        <w:t xml:space="preserve"> панелями и естественным камнем; использование вентилируемого фасада с облицовкой клинкерной, керамической, в том числе керамогранитной плиткой, </w:t>
      </w:r>
      <w:r>
        <w:rPr>
          <w:sz w:val="28"/>
          <w:shd w:fill="95BFFF" w:val="clear"/>
        </w:rPr>
        <w:t>фиброцементным</w:t>
      </w:r>
      <w:r>
        <w:rPr>
          <w:sz w:val="28"/>
          <w:shd w:fill="95BFFF" w:val="clear"/>
        </w:rPr>
        <w:t xml:space="preserve"> сайдингом, естественным камнем или металлическими кассетами с полимерным покрытием.</w:t>
      </w:r>
    </w:p>
    <w:p w14:paraId="FE000000">
      <w:pPr>
        <w:widowControl w:val="1"/>
        <w:ind w:firstLine="709"/>
        <w:jc w:val="both"/>
        <w:rPr>
          <w:sz w:val="28"/>
          <w:shd w:fill="95BFFF" w:val="clear"/>
        </w:rPr>
      </w:pPr>
      <w:r>
        <w:rPr>
          <w:sz w:val="28"/>
          <w:shd w:fill="95BFFF" w:val="clear"/>
        </w:rPr>
        <w:t>Не допускается для использования в отделке:</w:t>
      </w:r>
    </w:p>
    <w:p w14:paraId="FF000000">
      <w:pPr>
        <w:widowControl w:val="1"/>
        <w:ind w:firstLine="709"/>
        <w:jc w:val="both"/>
        <w:rPr>
          <w:sz w:val="28"/>
          <w:shd w:fill="95BFFF" w:val="clear"/>
        </w:rPr>
      </w:pPr>
      <w:r>
        <w:rPr>
          <w:sz w:val="28"/>
          <w:shd w:fill="95BFFF" w:val="clear"/>
        </w:rPr>
        <w:t>асбестоцементный лист, металлический и пластиковый (виниловый) сайдинг (за исключением объектов индивидуальной жилой застройки и объектов капитального строительства, расположенных на территориях промышленных предприятий, в глубине застройки и не просматриваемых с улиц и дорог),</w:t>
      </w:r>
    </w:p>
    <w:p w14:paraId="00010000">
      <w:pPr>
        <w:widowControl w:val="1"/>
        <w:ind w:firstLine="709"/>
        <w:jc w:val="both"/>
        <w:rPr>
          <w:sz w:val="28"/>
          <w:shd w:fill="95BFFF" w:val="clear"/>
        </w:rPr>
      </w:pPr>
      <w:r>
        <w:rPr>
          <w:sz w:val="28"/>
          <w:shd w:fill="95BFFF" w:val="clear"/>
        </w:rPr>
        <w:t>металлический профилированный лист (кроме кровли и кровельных конструкций), сотовый поликарбонат, поливинилхлоридные панели (за исключением HPL-панелей с имитацией дерева), сэндвич-панели без декоративного полимерного покрытия;</w:t>
      </w:r>
    </w:p>
    <w:p w14:paraId="01010000">
      <w:pPr>
        <w:widowControl w:val="1"/>
        <w:ind w:firstLine="709"/>
        <w:jc w:val="both"/>
        <w:rPr>
          <w:sz w:val="28"/>
          <w:shd w:fill="95BFFF" w:val="clear"/>
        </w:rPr>
      </w:pPr>
      <w:r>
        <w:rPr>
          <w:sz w:val="28"/>
          <w:shd w:fill="95BFFF" w:val="clear"/>
        </w:rPr>
        <w:t>д) требования к консольным выступающим элементам фасадов зданий, строений и сооружений не подлежат установлению;</w:t>
      </w:r>
    </w:p>
    <w:p w14:paraId="02010000">
      <w:pPr>
        <w:widowControl w:val="1"/>
        <w:ind w:firstLine="709"/>
        <w:jc w:val="both"/>
        <w:rPr>
          <w:sz w:val="28"/>
          <w:shd w:fill="95BFFF" w:val="clear"/>
        </w:rPr>
      </w:pPr>
      <w:r>
        <w:rPr>
          <w:sz w:val="28"/>
          <w:shd w:fill="95BFFF" w:val="clear"/>
        </w:rPr>
        <w:t>е) требования к организации входных групп не подлежат установлению;</w:t>
      </w:r>
    </w:p>
    <w:p w14:paraId="03010000">
      <w:pPr>
        <w:widowControl w:val="1"/>
        <w:ind w:firstLine="709"/>
        <w:jc w:val="both"/>
        <w:rPr>
          <w:sz w:val="28"/>
          <w:shd w:fill="95BFFF" w:val="clear"/>
        </w:rPr>
      </w:pPr>
      <w:r>
        <w:rPr>
          <w:sz w:val="28"/>
          <w:shd w:fill="95BFFF" w:val="clear"/>
        </w:rPr>
        <w:t>ж) требования к объемно-планировочным характеристикам первых этажей зданий не подлежат установлению;</w:t>
      </w:r>
    </w:p>
    <w:p w14:paraId="04010000">
      <w:pPr>
        <w:widowControl w:val="1"/>
        <w:ind w:firstLine="709"/>
        <w:jc w:val="both"/>
        <w:rPr>
          <w:strike w:val="1"/>
          <w:sz w:val="28"/>
          <w:shd w:fill="95BFFF" w:val="clear"/>
        </w:rPr>
      </w:pPr>
      <w:r>
        <w:rPr>
          <w:sz w:val="28"/>
          <w:shd w:fill="95BFFF" w:val="clear"/>
        </w:rPr>
        <w:t xml:space="preserve">з) требования к остеклению фасадов зданий, строений и </w:t>
      </w:r>
      <w:r>
        <w:rPr>
          <w:sz w:val="28"/>
          <w:shd w:fill="95BFFF" w:val="clear"/>
        </w:rPr>
        <w:t>сооружений  допускается</w:t>
      </w:r>
      <w:r>
        <w:rPr>
          <w:sz w:val="28"/>
          <w:shd w:fill="95BFFF" w:val="clear"/>
        </w:rPr>
        <w:t xml:space="preserve"> применение цветного и (или) зеркального остекления, в том числе использование самоклеящейся плёнки, устанавливать оборудование или сплошные экраны, закрывающие изнутри остекление здания;</w:t>
      </w:r>
    </w:p>
    <w:p w14:paraId="05010000">
      <w:pPr>
        <w:widowControl w:val="1"/>
        <w:ind w:firstLine="709"/>
        <w:jc w:val="both"/>
        <w:rPr>
          <w:sz w:val="28"/>
          <w:shd w:fill="95BFFF" w:val="clear"/>
        </w:rPr>
      </w:pPr>
      <w:r>
        <w:rPr>
          <w:sz w:val="28"/>
          <w:shd w:fill="95BFFF" w:val="clear"/>
        </w:rPr>
        <w:t>и) техническое и инженерное оборудование (в том числе вентиляции</w:t>
      </w:r>
      <w:r>
        <w:rPr>
          <w:sz w:val="28"/>
          <w:shd w:fill="95BFFF" w:val="clear"/>
        </w:rPr>
        <w:br/>
      </w:r>
      <w:r>
        <w:rPr>
          <w:sz w:val="28"/>
          <w:shd w:fill="95BFFF" w:val="clear"/>
        </w:rPr>
        <w:t>и кондиционирование воздуха, газоснабжения, освещения, связи, видеонаблюдения) допускается размещать в специальных декоративных коробах в соответствии со схемой размещения технических устройств, учитывающих стилистику здания. Допускается отклонение от указанных требований в случае размещения технического и инженерного оборудования на фасадах зданий</w:t>
      </w:r>
      <w:r>
        <w:rPr>
          <w:sz w:val="28"/>
          <w:shd w:fill="95BFFF" w:val="clear"/>
        </w:rPr>
        <w:br/>
      </w:r>
      <w:r>
        <w:rPr>
          <w:sz w:val="28"/>
          <w:shd w:fill="95BFFF" w:val="clear"/>
        </w:rPr>
        <w:t>и скатах кровли, обращенных внутрь квартала. Требования не распространяются на светотехническое оборудование декоративной подсветки;</w:t>
      </w:r>
    </w:p>
    <w:p w14:paraId="06010000">
      <w:pPr>
        <w:widowControl w:val="1"/>
        <w:ind w:firstLine="709"/>
        <w:jc w:val="both"/>
        <w:rPr>
          <w:sz w:val="28"/>
          <w:shd w:fill="95BFFF" w:val="clear"/>
        </w:rPr>
      </w:pPr>
      <w:r>
        <w:rPr>
          <w:sz w:val="28"/>
          <w:shd w:fill="95BFFF" w:val="clear"/>
        </w:rPr>
        <w:t xml:space="preserve">к) главные и боковые фасады строящихся и </w:t>
      </w:r>
      <w:r>
        <w:rPr>
          <w:sz w:val="28"/>
          <w:shd w:fill="95BFFF" w:val="clear"/>
        </w:rPr>
        <w:t>реконструируемых объектов</w:t>
      </w:r>
      <w:r>
        <w:rPr>
          <w:sz w:val="28"/>
          <w:shd w:fill="95BFFF" w:val="clear"/>
        </w:rPr>
        <w:t xml:space="preserve"> расположенных по красной линии застройки оборудуются декоративной подсветкой (цветовая температура (</w:t>
      </w:r>
      <w:r>
        <w:rPr>
          <w:sz w:val="28"/>
          <w:shd w:fill="95BFFF" w:val="clear"/>
        </w:rPr>
        <w:t>Тц</w:t>
      </w:r>
      <w:r>
        <w:rPr>
          <w:sz w:val="28"/>
          <w:shd w:fill="95BFFF" w:val="clear"/>
        </w:rPr>
        <w:t>) в диапазоне 2000-2700К, за исключением дополнительной, праздничной подсветки) путем сочетаний фоновой, линейной, точечной подсветок, а также отдельно.</w:t>
      </w:r>
    </w:p>
    <w:p w14:paraId="07010000">
      <w:pPr>
        <w:widowControl w:val="1"/>
        <w:ind w:firstLine="709"/>
        <w:jc w:val="both"/>
        <w:rPr>
          <w:sz w:val="28"/>
          <w:shd w:fill="95BFFF" w:val="clear"/>
        </w:rPr>
      </w:pPr>
      <w:r>
        <w:rPr>
          <w:sz w:val="28"/>
          <w:shd w:fill="95BFFF" w:val="clear"/>
        </w:rPr>
        <w:t>5. Согласование архитектурно-градостроительного облика объекта капитального строительства осуществляется в соответствии с Постановлением Правительства РФ от 29.05.2023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p>
    <w:p w14:paraId="08010000">
      <w:pPr>
        <w:widowControl w:val="1"/>
        <w:ind w:firstLine="709"/>
        <w:jc w:val="center"/>
        <w:rPr>
          <w:rFonts w:ascii="Times New Roman" w:hAnsi="Times New Roman"/>
          <w:sz w:val="28"/>
        </w:rPr>
      </w:pPr>
    </w:p>
    <w:p w14:paraId="09010000">
      <w:pPr>
        <w:widowControl w:val="1"/>
        <w:ind w:firstLine="709"/>
        <w:jc w:val="both"/>
        <w:rPr>
          <w:sz w:val="28"/>
        </w:rPr>
      </w:pPr>
    </w:p>
    <w:p w14:paraId="0A010000">
      <w:pPr>
        <w:widowControl w:val="0"/>
        <w:ind w:firstLine="709"/>
        <w:jc w:val="both"/>
        <w:rPr>
          <w:sz w:val="28"/>
        </w:rPr>
      </w:pPr>
      <w:bookmarkStart w:id="3" w:name="_Hlk233690165"/>
      <w:bookmarkEnd w:id="3"/>
    </w:p>
    <w:sectPr>
      <w:headerReference r:id="rId2" w:type="default"/>
      <w:footerReference r:id="rId3" w:type="default"/>
      <w:footerReference r:id="rId1" w:type="even"/>
      <w:pgSz w:h="16838" w:orient="portrait" w:w="11906"/>
      <w:pgMar w:bottom="1134" w:footer="709" w:gutter="0" w:header="709" w:left="1134" w:right="567" w:top="1134"/>
      <w:pgNumType w:start="3"/>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0E010000">
      <w:pPr>
        <w:widowControl w:val="1"/>
        <w:spacing w:after="0" w:line="240" w:lineRule="auto"/>
        <w:ind/>
      </w:pPr>
      <w:r>
        <w:separator/>
      </w:r>
    </w:p>
  </w:endnote>
  <w:endnote w:id="0" w:type="continuationSeparator">
    <w:p w14:paraId="0F01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1"/>
      <w:ind w:right="360"/>
    </w:pPr>
  </w:p>
</w:ftr>
</file>

<file path=word/footer3.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1"/>
      <w:ind w:right="360"/>
    </w:pPr>
  </w:p>
</w:ftr>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0B010000">
      <w:r>
        <w:separator/>
      </w:r>
    </w:p>
  </w:footnote>
  <w:footnote w:id="0" w:type="continuationSeparator">
    <w:p w14:paraId="0C010000">
      <w:r>
        <w:continuationSeparator/>
      </w:r>
    </w:p>
  </w:footnote>
  <w:footnote w:id="1">
    <w:p w14:paraId="0D010000">
      <w:pPr>
        <w:widowControl w:val="1"/>
        <w:ind/>
        <w:jc w:val="both"/>
      </w:pPr>
      <w:r>
        <w:rPr>
          <w:vertAlign w:val="superscript"/>
        </w:rPr>
        <w:footnoteRef/>
      </w:r>
      <w:r>
        <w:rPr>
          <w:b w:val="1"/>
        </w:rPr>
        <w:tab/>
      </w:r>
      <w:r>
        <w:rPr>
          <w:b w:val="1"/>
        </w:rPr>
        <w:t xml:space="preserve"> </w:t>
      </w:r>
      <w:r>
        <w:rPr>
          <w:b w:val="1"/>
          <w:sz w:val="20"/>
        </w:rP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и регионального значения.</w:t>
      </w:r>
    </w:p>
  </w:footnote>
</w:footnotes>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2000000">
    <w:pPr>
      <w:widowControl w:val="1"/>
      <w:ind/>
      <w:jc w:val="center"/>
      <w:rPr>
        <w:sz w:val="18"/>
      </w:rPr>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Jc w:val="left"/>
      <w:pPr>
        <w:widowControl w:val="1"/>
        <w:tabs>
          <w:tab w:leader="none" w:pos="0" w:val="left"/>
        </w:tabs>
        <w:ind w:hanging="432" w:left="432"/>
      </w:pPr>
      <w:rPr>
        <w:rFonts w:ascii="Times New Roman" w:hAnsi="Times New Roman"/>
      </w:rPr>
    </w:lvl>
    <w:lvl w:ilvl="1">
      <w:start w:val="1"/>
      <w:numFmt w:val="decimal"/>
      <w:lvlJc w:val="left"/>
      <w:pPr>
        <w:widowControl w:val="1"/>
        <w:tabs>
          <w:tab w:leader="none" w:pos="0" w:val="left"/>
        </w:tabs>
        <w:ind w:hanging="576" w:left="576"/>
      </w:pPr>
    </w:lvl>
    <w:lvl w:ilvl="2">
      <w:start w:val="1"/>
      <w:numFmt w:val="decimal"/>
      <w:lvlJc w:val="left"/>
      <w:pPr>
        <w:widowControl w:val="1"/>
        <w:tabs>
          <w:tab w:leader="none" w:pos="0" w:val="left"/>
        </w:tabs>
        <w:ind w:hanging="720" w:left="720"/>
      </w:pPr>
    </w:lvl>
    <w:lvl w:ilvl="3">
      <w:start w:val="1"/>
      <w:numFmt w:val="decimal"/>
      <w:lvlJc w:val="left"/>
      <w:pPr>
        <w:widowControl w:val="1"/>
        <w:tabs>
          <w:tab w:leader="none" w:pos="0" w:val="left"/>
        </w:tabs>
        <w:ind w:hanging="864" w:left="864"/>
      </w:pPr>
    </w:lvl>
    <w:lvl w:ilvl="4">
      <w:start w:val="1"/>
      <w:numFmt w:val="decimal"/>
      <w:lvlJc w:val="left"/>
      <w:pPr>
        <w:widowControl w:val="1"/>
        <w:tabs>
          <w:tab w:leader="none" w:pos="0" w:val="left"/>
        </w:tabs>
        <w:ind w:hanging="1008" w:left="1008"/>
      </w:pPr>
    </w:lvl>
    <w:lvl w:ilvl="5">
      <w:start w:val="1"/>
      <w:numFmt w:val="decimal"/>
      <w:lvlJc w:val="left"/>
      <w:pPr>
        <w:widowControl w:val="1"/>
        <w:tabs>
          <w:tab w:leader="none" w:pos="0" w:val="left"/>
        </w:tabs>
        <w:ind w:hanging="1152" w:left="1152"/>
      </w:pPr>
    </w:lvl>
    <w:lvl w:ilvl="6">
      <w:start w:val="1"/>
      <w:numFmt w:val="decimal"/>
      <w:lvlJc w:val="left"/>
      <w:pPr>
        <w:widowControl w:val="1"/>
        <w:tabs>
          <w:tab w:leader="none" w:pos="0" w:val="left"/>
        </w:tabs>
        <w:ind w:hanging="1296" w:left="1296"/>
      </w:pPr>
    </w:lvl>
    <w:lvl w:ilvl="7">
      <w:start w:val="1"/>
      <w:numFmt w:val="decimal"/>
      <w:lvlJc w:val="left"/>
      <w:pPr>
        <w:widowControl w:val="1"/>
        <w:tabs>
          <w:tab w:leader="none" w:pos="0" w:val="left"/>
        </w:tabs>
        <w:ind w:hanging="1440" w:left="1440"/>
      </w:pPr>
    </w:lvl>
    <w:lvl w:ilvl="8">
      <w:start w:val="1"/>
      <w:numFmt w:val="decimal"/>
      <w:lvlJc w:val="left"/>
      <w:pPr>
        <w:widowControl w:val="1"/>
        <w:tabs>
          <w:tab w:leader="none" w:pos="0" w:val="left"/>
        </w:tabs>
        <w:ind w:hanging="1584" w:left="1584"/>
      </w:pPr>
    </w:lvl>
  </w:abstractNum>
  <w:abstractNum w:abstractNumId="1">
    <w:lvl w:ilvl="0">
      <w:start w:val="1"/>
      <w:numFmt w:val="decimal"/>
      <w:lvlText w:val="%1)"/>
      <w:lvlJc w:val="left"/>
      <w:pPr>
        <w:widowControl w:val="1"/>
        <w:ind w:hanging="360" w:left="1211"/>
      </w:pPr>
    </w:lvl>
    <w:lvl w:ilvl="1">
      <w:start w:val="1"/>
      <w:numFmt w:val="lowerLetter"/>
      <w:lvlText w:val="%2."/>
      <w:lvlJc w:val="left"/>
      <w:pPr>
        <w:widowControl w:val="1"/>
        <w:ind w:hanging="360" w:left="2149"/>
      </w:pPr>
    </w:lvl>
    <w:lvl w:ilvl="2">
      <w:start w:val="1"/>
      <w:numFmt w:val="lowerRoman"/>
      <w:lvlText w:val="%3."/>
      <w:lvlJc w:val="right"/>
      <w:pPr>
        <w:widowControl w:val="1"/>
        <w:ind w:hanging="180" w:left="2869"/>
      </w:pPr>
    </w:lvl>
    <w:lvl w:ilvl="3">
      <w:start w:val="1"/>
      <w:numFmt w:val="decimal"/>
      <w:lvlText w:val="%4."/>
      <w:lvlJc w:val="left"/>
      <w:pPr>
        <w:widowControl w:val="1"/>
        <w:ind w:hanging="360" w:left="3589"/>
      </w:pPr>
    </w:lvl>
    <w:lvl w:ilvl="4">
      <w:start w:val="1"/>
      <w:numFmt w:val="lowerLetter"/>
      <w:lvlText w:val="%5."/>
      <w:lvlJc w:val="left"/>
      <w:pPr>
        <w:widowControl w:val="1"/>
        <w:ind w:hanging="360" w:left="4309"/>
      </w:pPr>
    </w:lvl>
    <w:lvl w:ilvl="5">
      <w:start w:val="1"/>
      <w:numFmt w:val="lowerRoman"/>
      <w:lvlText w:val="%6."/>
      <w:lvlJc w:val="right"/>
      <w:pPr>
        <w:widowControl w:val="1"/>
        <w:ind w:hanging="180" w:left="5029"/>
      </w:pPr>
    </w:lvl>
    <w:lvl w:ilvl="6">
      <w:start w:val="1"/>
      <w:numFmt w:val="decimal"/>
      <w:lvlText w:val="%7."/>
      <w:lvlJc w:val="left"/>
      <w:pPr>
        <w:widowControl w:val="1"/>
        <w:ind w:hanging="360" w:left="5749"/>
      </w:pPr>
    </w:lvl>
    <w:lvl w:ilvl="7">
      <w:start w:val="1"/>
      <w:numFmt w:val="lowerLetter"/>
      <w:lvlText w:val="%8."/>
      <w:lvlJc w:val="left"/>
      <w:pPr>
        <w:widowControl w:val="1"/>
        <w:ind w:hanging="360" w:left="6469"/>
      </w:pPr>
    </w:lvl>
    <w:lvl w:ilvl="8">
      <w:start w:val="1"/>
      <w:numFmt w:val="lowerRoman"/>
      <w:lvlText w:val="%9."/>
      <w:lvlJc w:val="right"/>
      <w:pPr>
        <w:widowControl w:val="1"/>
        <w:ind w:hanging="180" w:left="7189"/>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4" w:type="paragraph">
    <w:name w:val="Normal"/>
    <w:link w:val="Style_4_ch"/>
    <w:uiPriority w:val="0"/>
    <w:qFormat/>
    <w:rPr>
      <w:color w:val="000000"/>
      <w:sz w:val="24"/>
    </w:rPr>
  </w:style>
  <w:style w:default="1" w:styleId="Style_4_ch" w:type="character">
    <w:name w:val="Normal"/>
    <w:link w:val="Style_4"/>
    <w:rPr>
      <w:color w:val="000000"/>
      <w:sz w:val="24"/>
    </w:rPr>
  </w:style>
  <w:style w:styleId="Style_11" w:type="paragraph">
    <w:name w:val="toc 2"/>
    <w:basedOn w:val="Style_4"/>
    <w:next w:val="Style_4"/>
    <w:link w:val="Style_11_ch"/>
    <w:uiPriority w:val="39"/>
    <w:pPr>
      <w:widowControl w:val="1"/>
      <w:ind w:left="240"/>
    </w:pPr>
  </w:style>
  <w:style w:styleId="Style_11_ch" w:type="character">
    <w:name w:val="toc 2"/>
    <w:basedOn w:val="Style_4_ch"/>
    <w:link w:val="Style_11"/>
  </w:style>
  <w:style w:styleId="Style_12" w:type="paragraph">
    <w:name w:val="Основное меню"/>
    <w:basedOn w:val="Style_4"/>
    <w:next w:val="Style_4"/>
    <w:link w:val="Style_12_ch"/>
    <w:pPr>
      <w:widowControl w:val="0"/>
      <w:ind w:firstLine="720"/>
      <w:jc w:val="both"/>
    </w:pPr>
    <w:rPr>
      <w:rFonts w:ascii="Verdana" w:hAnsi="Verdana"/>
      <w:color w:val="000000"/>
      <w:sz w:val="22"/>
    </w:rPr>
  </w:style>
  <w:style w:styleId="Style_12_ch" w:type="character">
    <w:name w:val="Основное меню"/>
    <w:basedOn w:val="Style_4_ch"/>
    <w:link w:val="Style_12"/>
    <w:rPr>
      <w:rFonts w:ascii="Verdana" w:hAnsi="Verdana"/>
      <w:color w:val="000000"/>
      <w:sz w:val="22"/>
    </w:rPr>
  </w:style>
  <w:style w:styleId="Style_13" w:type="paragraph">
    <w:name w:val="Не вступил в силу"/>
    <w:link w:val="Style_13_ch"/>
    <w:rPr>
      <w:b w:val="1"/>
      <w:color w:val="008080"/>
    </w:rPr>
  </w:style>
  <w:style w:styleId="Style_13_ch" w:type="character">
    <w:name w:val="Не вступил в силу"/>
    <w:link w:val="Style_13"/>
    <w:rPr>
      <w:b w:val="1"/>
      <w:color w:val="008080"/>
    </w:rPr>
  </w:style>
  <w:style w:styleId="Style_14" w:type="paragraph">
    <w:name w:val="Утратил силу"/>
    <w:link w:val="Style_14_ch"/>
    <w:rPr>
      <w:b w:val="1"/>
      <w:strike w:val="1"/>
      <w:color w:val="808000"/>
    </w:rPr>
  </w:style>
  <w:style w:styleId="Style_14_ch" w:type="character">
    <w:name w:val="Утратил силу"/>
    <w:link w:val="Style_14"/>
    <w:rPr>
      <w:b w:val="1"/>
      <w:strike w:val="1"/>
      <w:color w:val="808000"/>
    </w:rPr>
  </w:style>
  <w:style w:styleId="Style_15" w:type="paragraph">
    <w:name w:val="toc 4"/>
    <w:next w:val="Style_4"/>
    <w:link w:val="Style_15_ch"/>
    <w:uiPriority w:val="39"/>
    <w:pPr>
      <w:widowControl w:val="1"/>
      <w:ind w:left="600"/>
    </w:pPr>
    <w:rPr>
      <w:rFonts w:ascii="XO Thames" w:hAnsi="XO Thames"/>
      <w:sz w:val="28"/>
    </w:rPr>
  </w:style>
  <w:style w:styleId="Style_15_ch" w:type="character">
    <w:name w:val="toc 4"/>
    <w:link w:val="Style_15"/>
    <w:rPr>
      <w:rFonts w:ascii="XO Thames" w:hAnsi="XO Thames"/>
      <w:sz w:val="28"/>
    </w:rPr>
  </w:style>
  <w:style w:styleId="Style_16" w:type="paragraph">
    <w:name w:val="ConsPlusCell"/>
    <w:link w:val="Style_16_ch"/>
    <w:pPr>
      <w:widowControl w:val="0"/>
      <w:ind/>
    </w:pPr>
    <w:rPr>
      <w:rFonts w:ascii="Arial" w:hAnsi="Arial"/>
    </w:rPr>
  </w:style>
  <w:style w:styleId="Style_16_ch" w:type="character">
    <w:name w:val="ConsPlusCell"/>
    <w:link w:val="Style_16"/>
    <w:rPr>
      <w:rFonts w:ascii="Arial" w:hAnsi="Arial"/>
    </w:rPr>
  </w:style>
  <w:style w:styleId="Style_17" w:type="paragraph">
    <w:name w:val="header"/>
    <w:basedOn w:val="Style_4"/>
    <w:link w:val="Style_17_ch"/>
    <w:pPr>
      <w:widowControl w:val="1"/>
      <w:tabs>
        <w:tab w:leader="none" w:pos="4677" w:val="center"/>
        <w:tab w:leader="none" w:pos="9355" w:val="right"/>
      </w:tabs>
      <w:ind/>
    </w:pPr>
  </w:style>
  <w:style w:styleId="Style_17_ch" w:type="character">
    <w:name w:val="header"/>
    <w:basedOn w:val="Style_4_ch"/>
    <w:link w:val="Style_17"/>
  </w:style>
  <w:style w:styleId="Style_10" w:type="paragraph">
    <w:name w:val="Обычный1"/>
    <w:link w:val="Style_10_ch"/>
    <w:rPr>
      <w:sz w:val="24"/>
    </w:rPr>
  </w:style>
  <w:style w:styleId="Style_10_ch" w:type="character">
    <w:name w:val="Обычный1"/>
    <w:link w:val="Style_10"/>
    <w:rPr>
      <w:sz w:val="24"/>
    </w:rPr>
  </w:style>
  <w:style w:styleId="Style_18" w:type="paragraph">
    <w:name w:val="toc 6"/>
    <w:next w:val="Style_4"/>
    <w:link w:val="Style_18_ch"/>
    <w:uiPriority w:val="39"/>
    <w:pPr>
      <w:widowControl w:val="1"/>
      <w:ind w:left="1000"/>
    </w:pPr>
    <w:rPr>
      <w:rFonts w:ascii="XO Thames" w:hAnsi="XO Thames"/>
      <w:sz w:val="28"/>
    </w:rPr>
  </w:style>
  <w:style w:styleId="Style_18_ch" w:type="character">
    <w:name w:val="toc 6"/>
    <w:link w:val="Style_18"/>
    <w:rPr>
      <w:rFonts w:ascii="XO Thames" w:hAnsi="XO Thames"/>
      <w:sz w:val="28"/>
    </w:rPr>
  </w:style>
  <w:style w:styleId="Style_19" w:type="paragraph">
    <w:name w:val="Словарная статья"/>
    <w:basedOn w:val="Style_4"/>
    <w:next w:val="Style_4"/>
    <w:link w:val="Style_19_ch"/>
    <w:pPr>
      <w:widowControl w:val="0"/>
      <w:ind w:right="118"/>
      <w:jc w:val="both"/>
    </w:pPr>
    <w:rPr>
      <w:rFonts w:ascii="Arial" w:hAnsi="Arial"/>
      <w:color w:val="000000"/>
      <w:sz w:val="20"/>
    </w:rPr>
  </w:style>
  <w:style w:styleId="Style_19_ch" w:type="character">
    <w:name w:val="Словарная статья"/>
    <w:basedOn w:val="Style_4_ch"/>
    <w:link w:val="Style_19"/>
    <w:rPr>
      <w:rFonts w:ascii="Arial" w:hAnsi="Arial"/>
      <w:color w:val="000000"/>
      <w:sz w:val="20"/>
    </w:rPr>
  </w:style>
  <w:style w:styleId="Style_20" w:type="paragraph">
    <w:name w:val="Body Text"/>
    <w:basedOn w:val="Style_4"/>
    <w:link w:val="Style_20_ch"/>
    <w:pPr>
      <w:widowControl w:val="1"/>
      <w:spacing w:after="120"/>
      <w:ind/>
    </w:pPr>
  </w:style>
  <w:style w:styleId="Style_20_ch" w:type="character">
    <w:name w:val="Body Text"/>
    <w:basedOn w:val="Style_4_ch"/>
    <w:link w:val="Style_20"/>
  </w:style>
  <w:style w:styleId="Style_21" w:type="paragraph">
    <w:name w:val="toc 7"/>
    <w:next w:val="Style_4"/>
    <w:link w:val="Style_21_ch"/>
    <w:uiPriority w:val="39"/>
    <w:pPr>
      <w:widowControl w:val="1"/>
      <w:ind w:left="1200"/>
    </w:pPr>
    <w:rPr>
      <w:rFonts w:ascii="XO Thames" w:hAnsi="XO Thames"/>
      <w:sz w:val="28"/>
    </w:rPr>
  </w:style>
  <w:style w:styleId="Style_21_ch" w:type="character">
    <w:name w:val="toc 7"/>
    <w:link w:val="Style_21"/>
    <w:rPr>
      <w:rFonts w:ascii="XO Thames" w:hAnsi="XO Thames"/>
      <w:sz w:val="28"/>
    </w:rPr>
  </w:style>
  <w:style w:styleId="Style_22" w:type="paragraph">
    <w:name w:val="nienie"/>
    <w:basedOn w:val="Style_23"/>
    <w:link w:val="Style_22_ch"/>
    <w:pPr>
      <w:keepLines w:val="1"/>
      <w:widowControl w:val="1"/>
      <w:ind w:hanging="284" w:left="709"/>
      <w:jc w:val="both"/>
    </w:pPr>
    <w:rPr>
      <w:rFonts w:ascii="Peterburg" w:hAnsi="Peterburg"/>
      <w:color w:val="000000"/>
      <w:sz w:val="24"/>
    </w:rPr>
  </w:style>
  <w:style w:styleId="Style_22_ch" w:type="character">
    <w:name w:val="nienie"/>
    <w:basedOn w:val="Style_23_ch"/>
    <w:link w:val="Style_22"/>
    <w:rPr>
      <w:rFonts w:ascii="Peterburg" w:hAnsi="Peterburg"/>
      <w:color w:val="000000"/>
      <w:sz w:val="24"/>
    </w:rPr>
  </w:style>
  <w:style w:styleId="Style_24" w:type="paragraph">
    <w:name w:val="ConsPlusNonformat"/>
    <w:link w:val="Style_24_ch"/>
    <w:pPr>
      <w:widowControl w:val="0"/>
      <w:ind/>
    </w:pPr>
    <w:rPr>
      <w:rFonts w:ascii="Courier New" w:hAnsi="Courier New"/>
    </w:rPr>
  </w:style>
  <w:style w:styleId="Style_24_ch" w:type="character">
    <w:name w:val="ConsPlusNonformat"/>
    <w:link w:val="Style_24"/>
    <w:rPr>
      <w:rFonts w:ascii="Courier New" w:hAnsi="Courier New"/>
    </w:rPr>
  </w:style>
  <w:style w:styleId="Style_25" w:type="paragraph">
    <w:name w:val="ConsPlusTitle"/>
    <w:link w:val="Style_25_ch"/>
    <w:pPr>
      <w:widowControl w:val="0"/>
      <w:ind/>
    </w:pPr>
    <w:rPr>
      <w:rFonts w:ascii="Arial" w:hAnsi="Arial"/>
      <w:b w:val="1"/>
    </w:rPr>
  </w:style>
  <w:style w:styleId="Style_25_ch" w:type="character">
    <w:name w:val="ConsPlusTitle"/>
    <w:link w:val="Style_25"/>
    <w:rPr>
      <w:rFonts w:ascii="Arial" w:hAnsi="Arial"/>
      <w:b w:val="1"/>
    </w:rPr>
  </w:style>
  <w:style w:styleId="Style_26" w:type="paragraph">
    <w:name w:val="Постоянная часть"/>
    <w:basedOn w:val="Style_12"/>
    <w:next w:val="Style_4"/>
    <w:link w:val="Style_26_ch"/>
    <w:rPr>
      <w:color w:val="000000"/>
      <w:sz w:val="20"/>
    </w:rPr>
  </w:style>
  <w:style w:styleId="Style_26_ch" w:type="character">
    <w:name w:val="Постоянная часть"/>
    <w:basedOn w:val="Style_12_ch"/>
    <w:link w:val="Style_26"/>
    <w:rPr>
      <w:color w:val="000000"/>
      <w:sz w:val="20"/>
    </w:rPr>
  </w:style>
  <w:style w:styleId="Style_27" w:type="paragraph">
    <w:name w:val="Endnote"/>
    <w:link w:val="Style_27_ch"/>
    <w:pPr>
      <w:widowControl w:val="1"/>
      <w:ind w:firstLine="851"/>
      <w:jc w:val="both"/>
    </w:pPr>
    <w:rPr>
      <w:rFonts w:ascii="XO Thames" w:hAnsi="XO Thames"/>
      <w:sz w:val="22"/>
    </w:rPr>
  </w:style>
  <w:style w:styleId="Style_27_ch" w:type="character">
    <w:name w:val="Endnote"/>
    <w:link w:val="Style_27"/>
    <w:rPr>
      <w:rFonts w:ascii="XO Thames" w:hAnsi="XO Thames"/>
      <w:sz w:val="22"/>
    </w:rPr>
  </w:style>
  <w:style w:styleId="Style_3" w:type="paragraph">
    <w:name w:val="heading 3"/>
    <w:basedOn w:val="Style_4"/>
    <w:next w:val="Style_4"/>
    <w:link w:val="Style_3_ch"/>
    <w:uiPriority w:val="9"/>
    <w:qFormat/>
    <w:pPr>
      <w:keepNext w:val="1"/>
      <w:widowControl w:val="1"/>
      <w:spacing w:after="60" w:before="240"/>
      <w:ind/>
      <w:outlineLvl w:val="2"/>
    </w:pPr>
    <w:rPr>
      <w:rFonts w:ascii="Arial" w:hAnsi="Arial"/>
      <w:b w:val="1"/>
      <w:color w:val="000000"/>
      <w:sz w:val="26"/>
    </w:rPr>
  </w:style>
  <w:style w:styleId="Style_3_ch" w:type="character">
    <w:name w:val="heading 3"/>
    <w:basedOn w:val="Style_4_ch"/>
    <w:link w:val="Style_3"/>
    <w:rPr>
      <w:rFonts w:ascii="Arial" w:hAnsi="Arial"/>
      <w:b w:val="1"/>
      <w:color w:val="000000"/>
      <w:sz w:val="26"/>
    </w:rPr>
  </w:style>
  <w:style w:styleId="Style_28" w:type="paragraph">
    <w:name w:val="apple-converted-space"/>
    <w:link w:val="Style_28_ch"/>
    <w:rPr>
      <w:color w:val="000000"/>
    </w:rPr>
  </w:style>
  <w:style w:styleId="Style_28_ch" w:type="character">
    <w:name w:val="apple-converted-space"/>
    <w:link w:val="Style_28"/>
    <w:rPr>
      <w:color w:val="000000"/>
    </w:rPr>
  </w:style>
  <w:style w:styleId="Style_29" w:type="paragraph">
    <w:name w:val="Интерактивный заголовок"/>
    <w:basedOn w:val="Style_30"/>
    <w:next w:val="Style_4"/>
    <w:link w:val="Style_29_ch"/>
    <w:rPr>
      <w:u w:val="single"/>
    </w:rPr>
  </w:style>
  <w:style w:styleId="Style_29_ch" w:type="character">
    <w:name w:val="Интерактивный заголовок"/>
    <w:basedOn w:val="Style_30_ch"/>
    <w:link w:val="Style_29"/>
    <w:rPr>
      <w:u w:val="single"/>
    </w:rPr>
  </w:style>
  <w:style w:styleId="Style_31" w:type="paragraph">
    <w:name w:val="Объект"/>
    <w:basedOn w:val="Style_4"/>
    <w:next w:val="Style_4"/>
    <w:link w:val="Style_31_ch"/>
    <w:pPr>
      <w:widowControl w:val="0"/>
      <w:ind w:firstLine="720"/>
      <w:jc w:val="both"/>
    </w:pPr>
    <w:rPr>
      <w:rFonts w:ascii="Arial" w:hAnsi="Arial"/>
      <w:color w:val="000000"/>
      <w:sz w:val="20"/>
    </w:rPr>
  </w:style>
  <w:style w:styleId="Style_31_ch" w:type="character">
    <w:name w:val="Объект"/>
    <w:basedOn w:val="Style_4_ch"/>
    <w:link w:val="Style_31"/>
    <w:rPr>
      <w:rFonts w:ascii="Arial" w:hAnsi="Arial"/>
      <w:color w:val="000000"/>
      <w:sz w:val="20"/>
    </w:rPr>
  </w:style>
  <w:style w:styleId="Style_32" w:type="paragraph">
    <w:name w:val="List Paragraph"/>
    <w:basedOn w:val="Style_4"/>
    <w:link w:val="Style_32_ch"/>
    <w:pPr>
      <w:widowControl w:val="1"/>
      <w:spacing w:after="200" w:line="276" w:lineRule="auto"/>
      <w:ind w:left="720"/>
      <w:contextualSpacing w:val="1"/>
    </w:pPr>
    <w:rPr>
      <w:rFonts w:ascii="Calibri" w:hAnsi="Calibri"/>
      <w:color w:val="000000"/>
      <w:sz w:val="22"/>
    </w:rPr>
  </w:style>
  <w:style w:styleId="Style_32_ch" w:type="character">
    <w:name w:val="List Paragraph"/>
    <w:basedOn w:val="Style_4_ch"/>
    <w:link w:val="Style_32"/>
    <w:rPr>
      <w:rFonts w:ascii="Calibri" w:hAnsi="Calibri"/>
      <w:color w:val="000000"/>
      <w:sz w:val="22"/>
    </w:rPr>
  </w:style>
  <w:style w:styleId="Style_33" w:type="paragraph">
    <w:name w:val="Default Paragraph Font"/>
    <w:link w:val="Style_33_ch"/>
  </w:style>
  <w:style w:styleId="Style_33_ch" w:type="character">
    <w:name w:val="Default Paragraph Font"/>
    <w:link w:val="Style_33"/>
  </w:style>
  <w:style w:styleId="Style_34" w:type="paragraph">
    <w:name w:val="Document Map"/>
    <w:basedOn w:val="Style_4"/>
    <w:link w:val="Style_34_ch"/>
    <w:rPr>
      <w:rFonts w:ascii="Tahoma" w:hAnsi="Tahoma"/>
      <w:color w:val="000000"/>
    </w:rPr>
  </w:style>
  <w:style w:styleId="Style_34_ch" w:type="character">
    <w:name w:val="Document Map"/>
    <w:basedOn w:val="Style_4_ch"/>
    <w:link w:val="Style_34"/>
    <w:rPr>
      <w:rFonts w:ascii="Tahoma" w:hAnsi="Tahoma"/>
      <w:color w:val="000000"/>
    </w:rPr>
  </w:style>
  <w:style w:styleId="Style_35" w:type="paragraph">
    <w:name w:val="Колонтитул (левый)"/>
    <w:basedOn w:val="Style_36"/>
    <w:next w:val="Style_4"/>
    <w:link w:val="Style_35_ch"/>
    <w:rPr>
      <w:color w:val="000000"/>
      <w:sz w:val="14"/>
    </w:rPr>
  </w:style>
  <w:style w:styleId="Style_35_ch" w:type="character">
    <w:name w:val="Колонтитул (левый)"/>
    <w:basedOn w:val="Style_36_ch"/>
    <w:link w:val="Style_35"/>
    <w:rPr>
      <w:color w:val="000000"/>
      <w:sz w:val="14"/>
    </w:rPr>
  </w:style>
  <w:style w:styleId="Style_37" w:type="paragraph">
    <w:name w:val="1 Основной текст"/>
    <w:basedOn w:val="Style_4"/>
    <w:link w:val="Style_37_ch"/>
    <w:pPr>
      <w:widowControl w:val="1"/>
      <w:spacing w:line="276" w:lineRule="auto"/>
      <w:ind w:firstLine="709"/>
      <w:jc w:val="both"/>
    </w:pPr>
  </w:style>
  <w:style w:styleId="Style_37_ch" w:type="character">
    <w:name w:val="1 Основной текст"/>
    <w:basedOn w:val="Style_4_ch"/>
    <w:link w:val="Style_37"/>
  </w:style>
  <w:style w:styleId="Style_1" w:type="paragraph">
    <w:name w:val="footer"/>
    <w:basedOn w:val="Style_4"/>
    <w:link w:val="Style_1_ch"/>
    <w:pPr>
      <w:widowControl w:val="1"/>
      <w:tabs>
        <w:tab w:leader="none" w:pos="4677" w:val="center"/>
        <w:tab w:leader="none" w:pos="9355" w:val="right"/>
      </w:tabs>
      <w:ind/>
    </w:pPr>
  </w:style>
  <w:style w:styleId="Style_1_ch" w:type="character">
    <w:name w:val="footer"/>
    <w:basedOn w:val="Style_4_ch"/>
    <w:link w:val="Style_1"/>
  </w:style>
  <w:style w:styleId="Style_38" w:type="paragraph">
    <w:name w:val="МОЕ"/>
    <w:basedOn w:val="Style_4"/>
    <w:link w:val="Style_38_ch"/>
    <w:pPr>
      <w:widowControl w:val="1"/>
      <w:ind w:firstLine="709"/>
      <w:jc w:val="both"/>
    </w:pPr>
    <w:rPr>
      <w:color w:val="000000"/>
      <w:spacing w:val="10"/>
      <w:sz w:val="28"/>
    </w:rPr>
  </w:style>
  <w:style w:styleId="Style_38_ch" w:type="character">
    <w:name w:val="МОЕ"/>
    <w:basedOn w:val="Style_4_ch"/>
    <w:link w:val="Style_38"/>
    <w:rPr>
      <w:color w:val="000000"/>
      <w:spacing w:val="10"/>
      <w:sz w:val="28"/>
    </w:rPr>
  </w:style>
  <w:style w:styleId="Style_23" w:type="paragraph">
    <w:name w:val="Iau?iue"/>
    <w:link w:val="Style_23_ch"/>
    <w:pPr>
      <w:widowControl w:val="0"/>
      <w:ind/>
    </w:pPr>
    <w:rPr>
      <w:color w:val="000000"/>
    </w:rPr>
  </w:style>
  <w:style w:styleId="Style_23_ch" w:type="character">
    <w:name w:val="Iau?iue"/>
    <w:link w:val="Style_23"/>
    <w:rPr>
      <w:color w:val="000000"/>
    </w:rPr>
  </w:style>
  <w:style w:styleId="Style_39" w:type="paragraph">
    <w:name w:val="Переменная часть"/>
    <w:basedOn w:val="Style_12"/>
    <w:next w:val="Style_4"/>
    <w:link w:val="Style_39_ch"/>
    <w:rPr>
      <w:color w:val="000000"/>
      <w:sz w:val="18"/>
    </w:rPr>
  </w:style>
  <w:style w:styleId="Style_39_ch" w:type="character">
    <w:name w:val="Переменная часть"/>
    <w:basedOn w:val="Style_12_ch"/>
    <w:link w:val="Style_39"/>
    <w:rPr>
      <w:color w:val="000000"/>
      <w:sz w:val="18"/>
    </w:rPr>
  </w:style>
  <w:style w:styleId="Style_40" w:type="paragraph">
    <w:name w:val="Default"/>
    <w:link w:val="Style_40_ch"/>
    <w:rPr>
      <w:rFonts w:ascii="Arial" w:hAnsi="Arial"/>
      <w:color w:val="000000"/>
      <w:sz w:val="24"/>
    </w:rPr>
  </w:style>
  <w:style w:styleId="Style_40_ch" w:type="character">
    <w:name w:val="Default"/>
    <w:link w:val="Style_40"/>
    <w:rPr>
      <w:rFonts w:ascii="Arial" w:hAnsi="Arial"/>
      <w:color w:val="000000"/>
      <w:sz w:val="24"/>
    </w:rPr>
  </w:style>
  <w:style w:styleId="Style_41" w:type="paragraph">
    <w:name w:val="nobr"/>
    <w:basedOn w:val="Style_42"/>
    <w:link w:val="Style_41_ch"/>
  </w:style>
  <w:style w:styleId="Style_41_ch" w:type="character">
    <w:name w:val="nobr"/>
    <w:basedOn w:val="Style_42_ch"/>
    <w:link w:val="Style_41"/>
  </w:style>
  <w:style w:styleId="Style_43" w:type="paragraph">
    <w:name w:val="toc 3"/>
    <w:basedOn w:val="Style_4"/>
    <w:next w:val="Style_4"/>
    <w:link w:val="Style_43_ch"/>
    <w:uiPriority w:val="39"/>
    <w:pPr>
      <w:widowControl w:val="1"/>
      <w:ind w:left="480"/>
    </w:pPr>
  </w:style>
  <w:style w:styleId="Style_43_ch" w:type="character">
    <w:name w:val="toc 3"/>
    <w:basedOn w:val="Style_4_ch"/>
    <w:link w:val="Style_43"/>
  </w:style>
  <w:style w:styleId="Style_44" w:type="paragraph">
    <w:name w:val="Колонтитул (правый)"/>
    <w:basedOn w:val="Style_45"/>
    <w:next w:val="Style_4"/>
    <w:link w:val="Style_44_ch"/>
    <w:rPr>
      <w:sz w:val="14"/>
    </w:rPr>
  </w:style>
  <w:style w:styleId="Style_44_ch" w:type="character">
    <w:name w:val="Колонтитул (правый)"/>
    <w:basedOn w:val="Style_45_ch"/>
    <w:link w:val="Style_44"/>
    <w:rPr>
      <w:sz w:val="14"/>
    </w:rPr>
  </w:style>
  <w:style w:styleId="Style_46" w:type="paragraph">
    <w:name w:val="Стиль"/>
    <w:link w:val="Style_46_ch"/>
    <w:pPr>
      <w:widowControl w:val="0"/>
      <w:ind/>
    </w:pPr>
    <w:rPr>
      <w:sz w:val="24"/>
    </w:rPr>
  </w:style>
  <w:style w:styleId="Style_46_ch" w:type="character">
    <w:name w:val="Стиль"/>
    <w:link w:val="Style_46"/>
    <w:rPr>
      <w:sz w:val="24"/>
    </w:rPr>
  </w:style>
  <w:style w:styleId="Style_47" w:type="paragraph">
    <w:name w:val="Прижатый влево"/>
    <w:basedOn w:val="Style_4"/>
    <w:next w:val="Style_4"/>
    <w:link w:val="Style_47_ch"/>
    <w:pPr>
      <w:widowControl w:val="0"/>
      <w:ind/>
    </w:pPr>
    <w:rPr>
      <w:rFonts w:ascii="Arial" w:hAnsi="Arial"/>
      <w:color w:val="000000"/>
      <w:sz w:val="20"/>
    </w:rPr>
  </w:style>
  <w:style w:styleId="Style_47_ch" w:type="character">
    <w:name w:val="Прижатый влево"/>
    <w:basedOn w:val="Style_4_ch"/>
    <w:link w:val="Style_47"/>
    <w:rPr>
      <w:rFonts w:ascii="Arial" w:hAnsi="Arial"/>
      <w:color w:val="000000"/>
      <w:sz w:val="20"/>
    </w:rPr>
  </w:style>
  <w:style w:styleId="Style_48" w:type="paragraph">
    <w:name w:val="Знак Знак"/>
    <w:link w:val="Style_48_ch"/>
    <w:rPr>
      <w:color w:val="000000"/>
    </w:rPr>
  </w:style>
  <w:style w:styleId="Style_48_ch" w:type="character">
    <w:name w:val="Знак Знак"/>
    <w:link w:val="Style_48"/>
    <w:rPr>
      <w:color w:val="000000"/>
    </w:rPr>
  </w:style>
  <w:style w:styleId="Style_49" w:type="paragraph">
    <w:name w:val="Plain Text"/>
    <w:basedOn w:val="Style_4"/>
    <w:link w:val="Style_49_ch"/>
    <w:rPr>
      <w:rFonts w:ascii="Courier New" w:hAnsi="Courier New"/>
      <w:color w:val="000000"/>
      <w:sz w:val="20"/>
    </w:rPr>
  </w:style>
  <w:style w:styleId="Style_49_ch" w:type="character">
    <w:name w:val="Plain Text"/>
    <w:basedOn w:val="Style_4_ch"/>
    <w:link w:val="Style_49"/>
    <w:rPr>
      <w:rFonts w:ascii="Courier New" w:hAnsi="Courier New"/>
      <w:color w:val="000000"/>
      <w:sz w:val="20"/>
    </w:rPr>
  </w:style>
  <w:style w:styleId="Style_50" w:type="paragraph">
    <w:name w:val="caaieiaie 2"/>
    <w:basedOn w:val="Style_23"/>
    <w:next w:val="Style_23"/>
    <w:link w:val="Style_50_ch"/>
    <w:pPr>
      <w:keepNext w:val="1"/>
      <w:keepLines w:val="1"/>
      <w:widowControl w:val="1"/>
      <w:spacing w:after="60" w:before="240"/>
      <w:ind/>
      <w:jc w:val="center"/>
    </w:pPr>
    <w:rPr>
      <w:rFonts w:ascii="Peterburg" w:hAnsi="Peterburg"/>
      <w:b w:val="1"/>
      <w:color w:val="000000"/>
      <w:sz w:val="24"/>
    </w:rPr>
  </w:style>
  <w:style w:styleId="Style_50_ch" w:type="character">
    <w:name w:val="caaieiaie 2"/>
    <w:basedOn w:val="Style_23_ch"/>
    <w:link w:val="Style_50"/>
    <w:rPr>
      <w:rFonts w:ascii="Peterburg" w:hAnsi="Peterburg"/>
      <w:b w:val="1"/>
      <w:color w:val="000000"/>
      <w:sz w:val="24"/>
    </w:rPr>
  </w:style>
  <w:style w:styleId="Style_51" w:type="paragraph">
    <w:name w:val="heading 5"/>
    <w:next w:val="Style_4"/>
    <w:link w:val="Style_51_ch"/>
    <w:uiPriority w:val="9"/>
    <w:qFormat/>
    <w:pPr>
      <w:widowControl w:val="1"/>
      <w:spacing w:after="120" w:before="120"/>
      <w:ind/>
      <w:jc w:val="both"/>
      <w:outlineLvl w:val="4"/>
    </w:pPr>
    <w:rPr>
      <w:rFonts w:ascii="XO Thames" w:hAnsi="XO Thames"/>
      <w:b w:val="1"/>
      <w:sz w:val="22"/>
    </w:rPr>
  </w:style>
  <w:style w:styleId="Style_51_ch" w:type="character">
    <w:name w:val="heading 5"/>
    <w:link w:val="Style_51"/>
    <w:rPr>
      <w:rFonts w:ascii="XO Thames" w:hAnsi="XO Thames"/>
      <w:b w:val="1"/>
      <w:sz w:val="22"/>
    </w:rPr>
  </w:style>
  <w:style w:styleId="Style_52" w:type="paragraph">
    <w:name w:val="Продолжение ссылки"/>
    <w:basedOn w:val="Style_53"/>
    <w:link w:val="Style_52_ch"/>
  </w:style>
  <w:style w:styleId="Style_52_ch" w:type="character">
    <w:name w:val="Продолжение ссылки"/>
    <w:basedOn w:val="Style_53_ch"/>
    <w:link w:val="Style_52"/>
  </w:style>
  <w:style w:styleId="Style_8" w:type="paragraph">
    <w:name w:val="heading 1"/>
    <w:basedOn w:val="Style_4"/>
    <w:next w:val="Style_4"/>
    <w:link w:val="Style_8_ch"/>
    <w:uiPriority w:val="9"/>
    <w:qFormat/>
    <w:pPr>
      <w:keepNext w:val="1"/>
      <w:widowControl w:val="1"/>
      <w:spacing w:after="60" w:before="240"/>
      <w:ind/>
      <w:outlineLvl w:val="0"/>
    </w:pPr>
    <w:rPr>
      <w:rFonts w:ascii="Arial" w:hAnsi="Arial"/>
      <w:b w:val="1"/>
      <w:color w:val="000000"/>
      <w:sz w:val="32"/>
    </w:rPr>
  </w:style>
  <w:style w:styleId="Style_8_ch" w:type="character">
    <w:name w:val="heading 1"/>
    <w:basedOn w:val="Style_4_ch"/>
    <w:link w:val="Style_8"/>
    <w:rPr>
      <w:rFonts w:ascii="Arial" w:hAnsi="Arial"/>
      <w:b w:val="1"/>
      <w:color w:val="000000"/>
      <w:sz w:val="32"/>
    </w:rPr>
  </w:style>
  <w:style w:styleId="Style_54" w:type="paragraph">
    <w:name w:val="b"/>
    <w:basedOn w:val="Style_42"/>
    <w:link w:val="Style_54_ch"/>
  </w:style>
  <w:style w:styleId="Style_54_ch" w:type="character">
    <w:name w:val="b"/>
    <w:basedOn w:val="Style_42_ch"/>
    <w:link w:val="Style_54"/>
  </w:style>
  <w:style w:styleId="Style_55" w:type="paragraph">
    <w:name w:val="WW8Num3z1"/>
    <w:link w:val="Style_55_ch"/>
    <w:rPr>
      <w:color w:val="000000"/>
    </w:rPr>
  </w:style>
  <w:style w:styleId="Style_55_ch" w:type="character">
    <w:name w:val="WW8Num3z1"/>
    <w:link w:val="Style_55"/>
    <w:rPr>
      <w:color w:val="000000"/>
    </w:rPr>
  </w:style>
  <w:style w:styleId="Style_56" w:type="paragraph">
    <w:name w:val="Hyperlink"/>
    <w:link w:val="Style_56_ch"/>
    <w:rPr>
      <w:color w:val="0000FF"/>
      <w:u w:val="single"/>
    </w:rPr>
  </w:style>
  <w:style w:styleId="Style_56_ch" w:type="character">
    <w:name w:val="Hyperlink"/>
    <w:link w:val="Style_56"/>
    <w:rPr>
      <w:color w:val="0000FF"/>
      <w:u w:val="single"/>
    </w:rPr>
  </w:style>
  <w:style w:styleId="Style_57" w:type="paragraph">
    <w:name w:val="Footnote"/>
    <w:basedOn w:val="Style_4"/>
    <w:link w:val="Style_57_ch"/>
    <w:rPr>
      <w:color w:val="000000"/>
      <w:sz w:val="20"/>
    </w:rPr>
  </w:style>
  <w:style w:styleId="Style_57_ch" w:type="character">
    <w:name w:val="Footnote"/>
    <w:basedOn w:val="Style_4_ch"/>
    <w:link w:val="Style_57"/>
    <w:rPr>
      <w:color w:val="000000"/>
      <w:sz w:val="20"/>
    </w:rPr>
  </w:style>
  <w:style w:styleId="Style_58" w:type="paragraph">
    <w:name w:val="toc 1"/>
    <w:basedOn w:val="Style_4"/>
    <w:next w:val="Style_4"/>
    <w:link w:val="Style_58_ch"/>
    <w:uiPriority w:val="39"/>
  </w:style>
  <w:style w:styleId="Style_58_ch" w:type="character">
    <w:name w:val="toc 1"/>
    <w:basedOn w:val="Style_4_ch"/>
    <w:link w:val="Style_58"/>
  </w:style>
  <w:style w:styleId="Style_59" w:type="paragraph">
    <w:name w:val="Знак сноски1"/>
    <w:link w:val="Style_59_ch"/>
    <w:rPr>
      <w:vertAlign w:val="superscript"/>
    </w:rPr>
  </w:style>
  <w:style w:styleId="Style_59_ch" w:type="character">
    <w:name w:val="Знак сноски1"/>
    <w:link w:val="Style_59"/>
    <w:rPr>
      <w:vertAlign w:val="superscript"/>
    </w:rPr>
  </w:style>
  <w:style w:styleId="Style_60" w:type="paragraph">
    <w:name w:val="Îáû÷íûé"/>
    <w:link w:val="Style_60_ch"/>
    <w:pPr>
      <w:widowControl w:val="0"/>
      <w:ind/>
    </w:pPr>
    <w:rPr>
      <w:rFonts w:ascii="TimesET" w:hAnsi="TimesET"/>
    </w:rPr>
  </w:style>
  <w:style w:styleId="Style_60_ch" w:type="character">
    <w:name w:val="Îáû÷íûé"/>
    <w:link w:val="Style_60"/>
    <w:rPr>
      <w:rFonts w:ascii="TimesET" w:hAnsi="TimesET"/>
    </w:rPr>
  </w:style>
  <w:style w:styleId="Style_61" w:type="paragraph">
    <w:name w:val="Header and Footer"/>
    <w:link w:val="Style_61_ch"/>
    <w:pPr>
      <w:widowControl w:val="1"/>
      <w:ind/>
      <w:jc w:val="both"/>
    </w:pPr>
    <w:rPr>
      <w:rFonts w:ascii="XO Thames" w:hAnsi="XO Thames"/>
      <w:sz w:val="28"/>
    </w:rPr>
  </w:style>
  <w:style w:styleId="Style_61_ch" w:type="character">
    <w:name w:val="Header and Footer"/>
    <w:link w:val="Style_61"/>
    <w:rPr>
      <w:rFonts w:ascii="XO Thames" w:hAnsi="XO Thames"/>
      <w:sz w:val="28"/>
    </w:rPr>
  </w:style>
  <w:style w:styleId="Style_62" w:type="paragraph">
    <w:name w:val="Стиль Заголовок 3 + 12 пт"/>
    <w:basedOn w:val="Style_3"/>
    <w:link w:val="Style_62_ch"/>
    <w:pPr>
      <w:widowControl w:val="1"/>
      <w:tabs>
        <w:tab w:leader="none" w:pos="0" w:val="left"/>
        <w:tab w:leader="none" w:pos="2340" w:val="left"/>
      </w:tabs>
      <w:spacing w:after="120"/>
      <w:ind/>
    </w:pPr>
    <w:rPr>
      <w:rFonts w:ascii="Times New Roman" w:hAnsi="Times New Roman"/>
      <w:color w:val="000000"/>
      <w:sz w:val="24"/>
    </w:rPr>
  </w:style>
  <w:style w:styleId="Style_62_ch" w:type="character">
    <w:name w:val="Стиль Заголовок 3 + 12 пт"/>
    <w:basedOn w:val="Style_3_ch"/>
    <w:link w:val="Style_62"/>
    <w:rPr>
      <w:rFonts w:ascii="Times New Roman" w:hAnsi="Times New Roman"/>
      <w:color w:val="000000"/>
      <w:sz w:val="24"/>
    </w:rPr>
  </w:style>
  <w:style w:styleId="Style_45" w:type="paragraph">
    <w:name w:val="Текст (прав. подпись)"/>
    <w:basedOn w:val="Style_4"/>
    <w:next w:val="Style_4"/>
    <w:link w:val="Style_45_ch"/>
    <w:pPr>
      <w:widowControl w:val="0"/>
      <w:ind/>
      <w:jc w:val="right"/>
    </w:pPr>
    <w:rPr>
      <w:rFonts w:ascii="Arial" w:hAnsi="Arial"/>
      <w:color w:val="000000"/>
      <w:sz w:val="20"/>
    </w:rPr>
  </w:style>
  <w:style w:styleId="Style_45_ch" w:type="character">
    <w:name w:val="Текст (прав. подпись)"/>
    <w:basedOn w:val="Style_4_ch"/>
    <w:link w:val="Style_45"/>
    <w:rPr>
      <w:rFonts w:ascii="Arial" w:hAnsi="Arial"/>
      <w:color w:val="000000"/>
      <w:sz w:val="20"/>
    </w:rPr>
  </w:style>
  <w:style w:styleId="Style_63" w:type="paragraph">
    <w:name w:val="Body Text 2"/>
    <w:basedOn w:val="Style_4"/>
    <w:link w:val="Style_63_ch"/>
    <w:pPr>
      <w:widowControl w:val="1"/>
      <w:spacing w:after="120" w:line="480" w:lineRule="auto"/>
      <w:ind/>
    </w:pPr>
  </w:style>
  <w:style w:styleId="Style_63_ch" w:type="character">
    <w:name w:val="Body Text 2"/>
    <w:basedOn w:val="Style_4_ch"/>
    <w:link w:val="Style_63"/>
  </w:style>
  <w:style w:styleId="Style_64" w:type="paragraph">
    <w:name w:val="search_result"/>
    <w:link w:val="Style_64_ch"/>
    <w:rPr>
      <w:color w:val="000000"/>
    </w:rPr>
  </w:style>
  <w:style w:styleId="Style_64_ch" w:type="character">
    <w:name w:val="search_result"/>
    <w:link w:val="Style_64"/>
    <w:rPr>
      <w:color w:val="000000"/>
    </w:rPr>
  </w:style>
  <w:style w:styleId="Style_65" w:type="paragraph">
    <w:name w:val="Таблицы (моноширинный)"/>
    <w:basedOn w:val="Style_4"/>
    <w:next w:val="Style_4"/>
    <w:link w:val="Style_65_ch"/>
    <w:pPr>
      <w:widowControl w:val="0"/>
      <w:ind/>
      <w:jc w:val="both"/>
    </w:pPr>
    <w:rPr>
      <w:rFonts w:ascii="Courier New" w:hAnsi="Courier New"/>
      <w:color w:val="000000"/>
      <w:sz w:val="20"/>
    </w:rPr>
  </w:style>
  <w:style w:styleId="Style_65_ch" w:type="character">
    <w:name w:val="Таблицы (моноширинный)"/>
    <w:basedOn w:val="Style_4_ch"/>
    <w:link w:val="Style_65"/>
    <w:rPr>
      <w:rFonts w:ascii="Courier New" w:hAnsi="Courier New"/>
      <w:color w:val="000000"/>
      <w:sz w:val="20"/>
    </w:rPr>
  </w:style>
  <w:style w:styleId="Style_66" w:type="paragraph">
    <w:name w:val="Комментарий пользователя"/>
    <w:basedOn w:val="Style_67"/>
    <w:next w:val="Style_4"/>
    <w:link w:val="Style_66_ch"/>
    <w:pPr>
      <w:widowControl w:val="1"/>
      <w:ind/>
      <w:jc w:val="left"/>
    </w:pPr>
    <w:rPr>
      <w:color w:val="000080"/>
    </w:rPr>
  </w:style>
  <w:style w:styleId="Style_66_ch" w:type="character">
    <w:name w:val="Комментарий пользователя"/>
    <w:basedOn w:val="Style_67_ch"/>
    <w:link w:val="Style_66"/>
    <w:rPr>
      <w:color w:val="000080"/>
    </w:rPr>
  </w:style>
  <w:style w:styleId="Style_67" w:type="paragraph">
    <w:name w:val="Комментарий"/>
    <w:basedOn w:val="Style_4"/>
    <w:next w:val="Style_4"/>
    <w:link w:val="Style_67_ch"/>
    <w:pPr>
      <w:widowControl w:val="0"/>
      <w:ind w:left="170"/>
      <w:jc w:val="both"/>
    </w:pPr>
    <w:rPr>
      <w:rFonts w:ascii="Arial" w:hAnsi="Arial"/>
      <w:i w:val="1"/>
      <w:color w:val="800080"/>
      <w:sz w:val="20"/>
    </w:rPr>
  </w:style>
  <w:style w:styleId="Style_67_ch" w:type="character">
    <w:name w:val="Комментарий"/>
    <w:basedOn w:val="Style_4_ch"/>
    <w:link w:val="Style_67"/>
    <w:rPr>
      <w:rFonts w:ascii="Arial" w:hAnsi="Arial"/>
      <w:i w:val="1"/>
      <w:color w:val="800080"/>
      <w:sz w:val="20"/>
    </w:rPr>
  </w:style>
  <w:style w:styleId="Style_68" w:type="paragraph">
    <w:name w:val="toc 9"/>
    <w:next w:val="Style_4"/>
    <w:link w:val="Style_68_ch"/>
    <w:uiPriority w:val="39"/>
    <w:pPr>
      <w:widowControl w:val="1"/>
      <w:ind w:left="1600"/>
    </w:pPr>
    <w:rPr>
      <w:rFonts w:ascii="XO Thames" w:hAnsi="XO Thames"/>
      <w:sz w:val="28"/>
    </w:rPr>
  </w:style>
  <w:style w:styleId="Style_68_ch" w:type="character">
    <w:name w:val="toc 9"/>
    <w:link w:val="Style_68"/>
    <w:rPr>
      <w:rFonts w:ascii="XO Thames" w:hAnsi="XO Thames"/>
      <w:sz w:val="28"/>
    </w:rPr>
  </w:style>
  <w:style w:styleId="Style_53" w:type="paragraph">
    <w:name w:val="Гипертекстовая ссылка"/>
    <w:link w:val="Style_53_ch"/>
    <w:rPr>
      <w:b w:val="1"/>
      <w:color w:val="008000"/>
      <w:u w:val="single"/>
    </w:rPr>
  </w:style>
  <w:style w:styleId="Style_53_ch" w:type="character">
    <w:name w:val="Гипертекстовая ссылка"/>
    <w:link w:val="Style_53"/>
    <w:rPr>
      <w:b w:val="1"/>
      <w:color w:val="008000"/>
      <w:u w:val="single"/>
    </w:rPr>
  </w:style>
  <w:style w:styleId="Style_69" w:type="paragraph">
    <w:name w:val="Normal (Web)"/>
    <w:basedOn w:val="Style_4"/>
    <w:link w:val="Style_69_ch"/>
    <w:pPr>
      <w:widowControl w:val="1"/>
      <w:spacing w:after="30" w:before="30"/>
      <w:ind/>
    </w:pPr>
    <w:rPr>
      <w:rFonts w:ascii="Arial" w:hAnsi="Arial"/>
      <w:color w:val="000000"/>
      <w:sz w:val="18"/>
    </w:rPr>
  </w:style>
  <w:style w:styleId="Style_69_ch" w:type="character">
    <w:name w:val="Normal (Web)"/>
    <w:basedOn w:val="Style_4_ch"/>
    <w:link w:val="Style_69"/>
    <w:rPr>
      <w:rFonts w:ascii="Arial" w:hAnsi="Arial"/>
      <w:color w:val="000000"/>
      <w:sz w:val="18"/>
    </w:rPr>
  </w:style>
  <w:style w:styleId="Style_70" w:type="paragraph">
    <w:name w:val="toc 8"/>
    <w:next w:val="Style_4"/>
    <w:link w:val="Style_70_ch"/>
    <w:uiPriority w:val="39"/>
    <w:pPr>
      <w:widowControl w:val="1"/>
      <w:ind w:left="1400"/>
    </w:pPr>
    <w:rPr>
      <w:rFonts w:ascii="XO Thames" w:hAnsi="XO Thames"/>
      <w:sz w:val="28"/>
    </w:rPr>
  </w:style>
  <w:style w:styleId="Style_70_ch" w:type="character">
    <w:name w:val="toc 8"/>
    <w:link w:val="Style_70"/>
    <w:rPr>
      <w:rFonts w:ascii="XO Thames" w:hAnsi="XO Thames"/>
      <w:sz w:val="28"/>
    </w:rPr>
  </w:style>
  <w:style w:styleId="Style_71" w:type="paragraph">
    <w:name w:val="Balloon Text"/>
    <w:basedOn w:val="Style_4"/>
    <w:link w:val="Style_71_ch"/>
    <w:rPr>
      <w:rFonts w:ascii="Tahoma" w:hAnsi="Tahoma"/>
      <w:color w:val="000000"/>
      <w:sz w:val="16"/>
    </w:rPr>
  </w:style>
  <w:style w:styleId="Style_71_ch" w:type="character">
    <w:name w:val="Balloon Text"/>
    <w:basedOn w:val="Style_4_ch"/>
    <w:link w:val="Style_71"/>
    <w:rPr>
      <w:rFonts w:ascii="Tahoma" w:hAnsi="Tahoma"/>
      <w:color w:val="000000"/>
      <w:sz w:val="16"/>
    </w:rPr>
  </w:style>
  <w:style w:styleId="Style_72" w:type="paragraph">
    <w:name w:val="Оглавление"/>
    <w:basedOn w:val="Style_65"/>
    <w:next w:val="Style_4"/>
    <w:link w:val="Style_72_ch"/>
    <w:pPr>
      <w:widowControl w:val="1"/>
      <w:ind w:left="140"/>
    </w:pPr>
  </w:style>
  <w:style w:styleId="Style_72_ch" w:type="character">
    <w:name w:val="Оглавление"/>
    <w:basedOn w:val="Style_65_ch"/>
    <w:link w:val="Style_72"/>
  </w:style>
  <w:style w:styleId="Style_73" w:type="paragraph">
    <w:name w:val="Цветовое выделение"/>
    <w:link w:val="Style_73_ch"/>
    <w:rPr>
      <w:b w:val="1"/>
      <w:color w:val="000080"/>
    </w:rPr>
  </w:style>
  <w:style w:styleId="Style_73_ch" w:type="character">
    <w:name w:val="Цветовое выделение"/>
    <w:link w:val="Style_73"/>
    <w:rPr>
      <w:b w:val="1"/>
      <w:color w:val="000080"/>
    </w:rPr>
  </w:style>
  <w:style w:styleId="Style_74" w:type="paragraph">
    <w:name w:val="WW8Num1z3"/>
    <w:link w:val="Style_74_ch"/>
    <w:rPr>
      <w:color w:val="000000"/>
    </w:rPr>
  </w:style>
  <w:style w:styleId="Style_74_ch" w:type="character">
    <w:name w:val="WW8Num1z3"/>
    <w:link w:val="Style_74"/>
    <w:rPr>
      <w:color w:val="000000"/>
    </w:rPr>
  </w:style>
  <w:style w:styleId="Style_5" w:type="paragraph">
    <w:name w:val="ОСНОВНОЙ !!!"/>
    <w:basedOn w:val="Style_20"/>
    <w:link w:val="Style_5_ch"/>
    <w:pPr>
      <w:widowControl w:val="1"/>
      <w:spacing w:after="0" w:before="120"/>
      <w:ind w:firstLine="900"/>
      <w:jc w:val="both"/>
    </w:pPr>
    <w:rPr>
      <w:rFonts w:ascii="Arial" w:hAnsi="Arial"/>
      <w:color w:val="000000"/>
    </w:rPr>
  </w:style>
  <w:style w:styleId="Style_5_ch" w:type="character">
    <w:name w:val="ОСНОВНОЙ !!!"/>
    <w:basedOn w:val="Style_20_ch"/>
    <w:link w:val="Style_5"/>
    <w:rPr>
      <w:rFonts w:ascii="Arial" w:hAnsi="Arial"/>
      <w:color w:val="000000"/>
    </w:rPr>
  </w:style>
  <w:style w:styleId="Style_75" w:type="paragraph">
    <w:name w:val="toc 5"/>
    <w:next w:val="Style_4"/>
    <w:link w:val="Style_75_ch"/>
    <w:uiPriority w:val="39"/>
    <w:pPr>
      <w:widowControl w:val="1"/>
      <w:ind w:left="800"/>
    </w:pPr>
    <w:rPr>
      <w:rFonts w:ascii="XO Thames" w:hAnsi="XO Thames"/>
      <w:sz w:val="28"/>
    </w:rPr>
  </w:style>
  <w:style w:styleId="Style_75_ch" w:type="character">
    <w:name w:val="toc 5"/>
    <w:link w:val="Style_75"/>
    <w:rPr>
      <w:rFonts w:ascii="XO Thames" w:hAnsi="XO Thames"/>
      <w:sz w:val="28"/>
    </w:rPr>
  </w:style>
  <w:style w:styleId="Style_76" w:type="paragraph">
    <w:name w:val="Неразрешенное упоминание1"/>
    <w:link w:val="Style_76_ch"/>
    <w:rPr>
      <w:color w:val="808080"/>
      <w:shd w:fill="E6E6E6" w:val="clear"/>
    </w:rPr>
  </w:style>
  <w:style w:styleId="Style_76_ch" w:type="character">
    <w:name w:val="Неразрешенное упоминание1"/>
    <w:link w:val="Style_76"/>
    <w:rPr>
      <w:color w:val="808080"/>
      <w:shd w:fill="E6E6E6" w:val="clear"/>
    </w:rPr>
  </w:style>
  <w:style w:styleId="Style_77" w:type="paragraph">
    <w:name w:val="TOC Heading"/>
    <w:basedOn w:val="Style_8"/>
    <w:next w:val="Style_4"/>
    <w:link w:val="Style_77_ch"/>
    <w:pPr>
      <w:keepLines w:val="1"/>
      <w:widowControl w:val="1"/>
      <w:spacing w:after="0" w:line="264" w:lineRule="auto"/>
      <w:ind/>
      <w:outlineLvl w:val="8"/>
    </w:pPr>
    <w:rPr>
      <w:rFonts w:ascii="Calibri Light" w:hAnsi="Calibri Light"/>
      <w:b w:val="0"/>
      <w:color w:val="2F5496"/>
    </w:rPr>
  </w:style>
  <w:style w:styleId="Style_77_ch" w:type="character">
    <w:name w:val="TOC Heading"/>
    <w:basedOn w:val="Style_8_ch"/>
    <w:link w:val="Style_77"/>
    <w:rPr>
      <w:rFonts w:ascii="Calibri Light" w:hAnsi="Calibri Light"/>
      <w:b w:val="0"/>
      <w:color w:val="2F5496"/>
    </w:rPr>
  </w:style>
  <w:style w:styleId="Style_6" w:type="paragraph">
    <w:name w:val="Body Text Indent"/>
    <w:basedOn w:val="Style_4"/>
    <w:link w:val="Style_6_ch"/>
    <w:pPr>
      <w:widowControl w:val="1"/>
      <w:ind w:firstLine="709" w:left="-540"/>
      <w:jc w:val="both"/>
    </w:pPr>
    <w:rPr>
      <w:color w:val="000000"/>
      <w:sz w:val="28"/>
    </w:rPr>
  </w:style>
  <w:style w:styleId="Style_6_ch" w:type="character">
    <w:name w:val="Body Text Indent"/>
    <w:basedOn w:val="Style_4_ch"/>
    <w:link w:val="Style_6"/>
    <w:rPr>
      <w:color w:val="000000"/>
      <w:sz w:val="28"/>
    </w:rPr>
  </w:style>
  <w:style w:styleId="Style_36" w:type="paragraph">
    <w:name w:val="Текст (лев. подпись)"/>
    <w:basedOn w:val="Style_4"/>
    <w:next w:val="Style_4"/>
    <w:link w:val="Style_36_ch"/>
    <w:pPr>
      <w:widowControl w:val="0"/>
      <w:ind/>
    </w:pPr>
    <w:rPr>
      <w:rFonts w:ascii="Arial" w:hAnsi="Arial"/>
      <w:color w:val="000000"/>
      <w:sz w:val="20"/>
    </w:rPr>
  </w:style>
  <w:style w:styleId="Style_36_ch" w:type="character">
    <w:name w:val="Текст (лев. подпись)"/>
    <w:basedOn w:val="Style_4_ch"/>
    <w:link w:val="Style_36"/>
    <w:rPr>
      <w:rFonts w:ascii="Arial" w:hAnsi="Arial"/>
      <w:color w:val="000000"/>
      <w:sz w:val="20"/>
    </w:rPr>
  </w:style>
  <w:style w:styleId="Style_9" w:type="paragraph">
    <w:name w:val="Символ сноски"/>
    <w:link w:val="Style_9_ch"/>
    <w:rPr>
      <w:vertAlign w:val="superscript"/>
    </w:rPr>
  </w:style>
  <w:style w:styleId="Style_9_ch" w:type="character">
    <w:name w:val="Символ сноски"/>
    <w:link w:val="Style_9"/>
    <w:rPr>
      <w:vertAlign w:val="superscript"/>
    </w:rPr>
  </w:style>
  <w:style w:styleId="Style_42" w:type="paragraph">
    <w:name w:val="Основной шрифт абзаца1"/>
    <w:link w:val="Style_42_ch"/>
    <w:rPr>
      <w:color w:val="000000"/>
    </w:rPr>
  </w:style>
  <w:style w:styleId="Style_42_ch" w:type="character">
    <w:name w:val="Основной шрифт абзаца1"/>
    <w:link w:val="Style_42"/>
    <w:rPr>
      <w:color w:val="000000"/>
    </w:rPr>
  </w:style>
  <w:style w:styleId="Style_78" w:type="paragraph">
    <w:name w:val="Subtitle"/>
    <w:next w:val="Style_4"/>
    <w:link w:val="Style_78_ch"/>
    <w:uiPriority w:val="11"/>
    <w:qFormat/>
    <w:pPr>
      <w:widowControl w:val="1"/>
      <w:ind/>
      <w:jc w:val="both"/>
    </w:pPr>
    <w:rPr>
      <w:rFonts w:ascii="XO Thames" w:hAnsi="XO Thames"/>
      <w:i w:val="1"/>
      <w:sz w:val="24"/>
    </w:rPr>
  </w:style>
  <w:style w:styleId="Style_78_ch" w:type="character">
    <w:name w:val="Subtitle"/>
    <w:link w:val="Style_78"/>
    <w:rPr>
      <w:rFonts w:ascii="XO Thames" w:hAnsi="XO Thames"/>
      <w:i w:val="1"/>
      <w:sz w:val="24"/>
    </w:rPr>
  </w:style>
  <w:style w:styleId="Style_79" w:type="paragraph">
    <w:name w:val="Heading"/>
    <w:link w:val="Style_79_ch"/>
    <w:rPr>
      <w:rFonts w:ascii="Arial" w:hAnsi="Arial"/>
      <w:b w:val="1"/>
      <w:sz w:val="22"/>
    </w:rPr>
  </w:style>
  <w:style w:styleId="Style_79_ch" w:type="character">
    <w:name w:val="Heading"/>
    <w:link w:val="Style_79"/>
    <w:rPr>
      <w:rFonts w:ascii="Arial" w:hAnsi="Arial"/>
      <w:b w:val="1"/>
      <w:sz w:val="22"/>
    </w:rPr>
  </w:style>
  <w:style w:styleId="Style_30" w:type="paragraph">
    <w:name w:val="Title"/>
    <w:basedOn w:val="Style_12"/>
    <w:next w:val="Style_4"/>
    <w:link w:val="Style_30_ch"/>
    <w:uiPriority w:val="10"/>
    <w:qFormat/>
    <w:rPr>
      <w:b w:val="1"/>
      <w:color w:val="C0C0C0"/>
    </w:rPr>
  </w:style>
  <w:style w:styleId="Style_30_ch" w:type="character">
    <w:name w:val="Title"/>
    <w:basedOn w:val="Style_12_ch"/>
    <w:link w:val="Style_30"/>
    <w:rPr>
      <w:b w:val="1"/>
      <w:color w:val="C0C0C0"/>
    </w:rPr>
  </w:style>
  <w:style w:styleId="Style_80" w:type="paragraph">
    <w:name w:val="heading 4"/>
    <w:next w:val="Style_4"/>
    <w:link w:val="Style_80_ch"/>
    <w:uiPriority w:val="9"/>
    <w:qFormat/>
    <w:pPr>
      <w:widowControl w:val="1"/>
      <w:spacing w:after="120" w:before="120"/>
      <w:ind/>
      <w:jc w:val="both"/>
      <w:outlineLvl w:val="3"/>
    </w:pPr>
    <w:rPr>
      <w:rFonts w:ascii="XO Thames" w:hAnsi="XO Thames"/>
      <w:b w:val="1"/>
      <w:sz w:val="24"/>
    </w:rPr>
  </w:style>
  <w:style w:styleId="Style_80_ch" w:type="character">
    <w:name w:val="heading 4"/>
    <w:link w:val="Style_80"/>
    <w:rPr>
      <w:rFonts w:ascii="XO Thames" w:hAnsi="XO Thames"/>
      <w:b w:val="1"/>
      <w:sz w:val="24"/>
    </w:rPr>
  </w:style>
  <w:style w:styleId="Style_81" w:type="paragraph">
    <w:name w:val="Гиперссылка1"/>
    <w:link w:val="Style_81_ch"/>
    <w:rPr>
      <w:color w:val="0000FF"/>
      <w:u w:val="single"/>
    </w:rPr>
  </w:style>
  <w:style w:styleId="Style_81_ch" w:type="character">
    <w:name w:val="Гиперссылка1"/>
    <w:link w:val="Style_81"/>
    <w:rPr>
      <w:color w:val="0000FF"/>
      <w:u w:val="single"/>
    </w:rPr>
  </w:style>
  <w:style w:styleId="Style_7" w:type="paragraph">
    <w:name w:val="ConsNormal"/>
    <w:link w:val="Style_7_ch"/>
    <w:pPr>
      <w:widowControl w:val="1"/>
      <w:ind w:firstLine="720" w:right="19772"/>
    </w:pPr>
    <w:rPr>
      <w:rFonts w:ascii="Arial" w:hAnsi="Arial"/>
    </w:rPr>
  </w:style>
  <w:style w:styleId="Style_7_ch" w:type="character">
    <w:name w:val="ConsNormal"/>
    <w:link w:val="Style_7"/>
    <w:rPr>
      <w:rFonts w:ascii="Arial" w:hAnsi="Arial"/>
    </w:rPr>
  </w:style>
  <w:style w:styleId="Style_2" w:type="paragraph">
    <w:name w:val="heading 2"/>
    <w:basedOn w:val="Style_4"/>
    <w:next w:val="Style_4"/>
    <w:link w:val="Style_2_ch"/>
    <w:uiPriority w:val="9"/>
    <w:qFormat/>
    <w:pPr>
      <w:keepNext w:val="1"/>
      <w:widowControl w:val="1"/>
      <w:spacing w:after="60" w:before="240"/>
      <w:ind/>
      <w:outlineLvl w:val="1"/>
    </w:pPr>
    <w:rPr>
      <w:rFonts w:ascii="Arial" w:hAnsi="Arial"/>
      <w:b w:val="1"/>
      <w:i w:val="1"/>
      <w:color w:val="000000"/>
      <w:sz w:val="28"/>
    </w:rPr>
  </w:style>
  <w:style w:styleId="Style_2_ch" w:type="character">
    <w:name w:val="heading 2"/>
    <w:basedOn w:val="Style_4_ch"/>
    <w:link w:val="Style_2"/>
    <w:rPr>
      <w:rFonts w:ascii="Arial" w:hAnsi="Arial"/>
      <w:b w:val="1"/>
      <w:i w:val="1"/>
      <w:color w:val="000000"/>
      <w:sz w:val="28"/>
    </w:rPr>
  </w:style>
  <w:style w:styleId="Style_82" w:type="paragraph">
    <w:name w:val="Текст (справка)"/>
    <w:basedOn w:val="Style_4"/>
    <w:next w:val="Style_4"/>
    <w:link w:val="Style_82_ch"/>
    <w:pPr>
      <w:widowControl w:val="0"/>
      <w:ind w:left="170" w:right="170"/>
    </w:pPr>
    <w:rPr>
      <w:rFonts w:ascii="Arial" w:hAnsi="Arial"/>
      <w:color w:val="000000"/>
      <w:sz w:val="20"/>
    </w:rPr>
  </w:style>
  <w:style w:styleId="Style_82_ch" w:type="character">
    <w:name w:val="Текст (справка)"/>
    <w:basedOn w:val="Style_4_ch"/>
    <w:link w:val="Style_82"/>
    <w:rPr>
      <w:rFonts w:ascii="Arial" w:hAnsi="Arial"/>
      <w:color w:val="000000"/>
      <w:sz w:val="20"/>
    </w:rPr>
  </w:style>
  <w:style w:styleId="Style_83" w:type="paragraph">
    <w:name w:val="blk"/>
    <w:link w:val="Style_83_ch"/>
    <w:rPr>
      <w:color w:val="000000"/>
    </w:rPr>
  </w:style>
  <w:style w:styleId="Style_83_ch" w:type="character">
    <w:name w:val="blk"/>
    <w:link w:val="Style_83"/>
    <w:rPr>
      <w:color w:val="000000"/>
    </w:rPr>
  </w:style>
  <w:style w:styleId="Style_84" w:type="paragraph">
    <w:name w:val="Номер страницы1"/>
    <w:basedOn w:val="Style_42"/>
    <w:link w:val="Style_84_ch"/>
  </w:style>
  <w:style w:styleId="Style_84_ch" w:type="character">
    <w:name w:val="Номер страницы1"/>
    <w:basedOn w:val="Style_42_ch"/>
    <w:link w:val="Style_84"/>
  </w:style>
  <w:style w:styleId="Style_85" w:type="paragraph">
    <w:name w:val="ConsPlusNormal"/>
    <w:link w:val="Style_85_ch"/>
    <w:pPr>
      <w:widowControl w:val="0"/>
      <w:ind w:firstLine="720"/>
    </w:pPr>
    <w:rPr>
      <w:rFonts w:ascii="Arial" w:hAnsi="Arial"/>
    </w:rPr>
  </w:style>
  <w:style w:styleId="Style_85_ch" w:type="character">
    <w:name w:val="ConsPlusNormal"/>
    <w:link w:val="Style_85"/>
    <w:rPr>
      <w:rFonts w:ascii="Arial" w:hAnsi="Arial"/>
    </w:rPr>
  </w:style>
  <w:style w:styleId="Style_86" w:type="paragraph">
    <w:name w:val="Найденные слова"/>
    <w:basedOn w:val="Style_73"/>
    <w:link w:val="Style_86_ch"/>
  </w:style>
  <w:style w:styleId="Style_86_ch" w:type="character">
    <w:name w:val="Найденные слова"/>
    <w:basedOn w:val="Style_73_ch"/>
    <w:link w:val="Style_86"/>
  </w:style>
  <w:style w:styleId="Style_87" w:type="paragraph">
    <w:name w:val="Заголовок статьи"/>
    <w:basedOn w:val="Style_4"/>
    <w:next w:val="Style_4"/>
    <w:link w:val="Style_87_ch"/>
    <w:pPr>
      <w:widowControl w:val="0"/>
      <w:ind w:hanging="892" w:left="1612"/>
      <w:jc w:val="both"/>
    </w:pPr>
    <w:rPr>
      <w:rFonts w:ascii="Arial" w:hAnsi="Arial"/>
      <w:color w:val="000000"/>
      <w:sz w:val="20"/>
    </w:rPr>
  </w:style>
  <w:style w:styleId="Style_87_ch" w:type="character">
    <w:name w:val="Заголовок статьи"/>
    <w:basedOn w:val="Style_4_ch"/>
    <w:link w:val="Style_87"/>
    <w:rPr>
      <w:rFonts w:ascii="Arial" w:hAnsi="Arial"/>
      <w:color w:val="000000"/>
      <w:sz w:val="20"/>
    </w:rPr>
  </w:style>
  <w:style w:styleId="Style_88" w:type="table">
    <w:name w:val="Table Grid"/>
    <w:basedOn w:val="Style_89"/>
    <w:pPr>
      <w:widowControl w:val="0"/>
      <w:ind w:firstLine="720"/>
      <w:jc w:val="both"/>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89"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xml" Type="http://schemas.openxmlformats.org/officeDocument/2006/relationships/styles"/>
  <Relationship Id="rId1" Target="footer1.xml" Type="http://schemas.openxmlformats.org/officeDocument/2006/relationships/footer"/>
  <Relationship Id="rId12" Target="numbering.xml" Type="http://schemas.openxmlformats.org/officeDocument/2006/relationships/numbering"/>
  <Relationship Id="rId10" Target="footnotes.xml" Type="http://schemas.openxmlformats.org/officeDocument/2006/relationships/footnotes"/>
  <Relationship Id="rId2" Target="header2.xml" Type="http://schemas.openxmlformats.org/officeDocument/2006/relationships/header"/>
  <Relationship Id="rId3" Target="footer3.xml" Type="http://schemas.openxmlformats.org/officeDocument/2006/relationships/footer"/>
  <Relationship Id="rId8" Target="webSettings.xml" Type="http://schemas.openxmlformats.org/officeDocument/2006/relationships/webSettings"/>
  <Relationship Id="rId4" Target="fontTable.xml" Type="http://schemas.openxmlformats.org/officeDocument/2006/relationships/fontTable"/>
  <Relationship Id="rId11" Target="endnotes.xml" Type="http://schemas.openxmlformats.org/officeDocument/2006/relationships/endnotes"/>
  <Relationship Id="rId9" Target="theme/theme1.xml" Type="http://schemas.openxmlformats.org/officeDocument/2006/relationships/theme"/>
  <Relationship Id="rId7" Target="stylesWithEffects.xml" Type="http://schemas.microsoft.com/office/2007/relationships/stylesWithEffects"/>
  <Relationship Id="rId5" Target="settings.xml" Type="http://schemas.openxmlformats.org/officeDocument/2006/relationships/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2026-08-14T16:50:19Z</dcterms:created>
  <dcterms:modified xsi:type="dcterms:W3CDTF">2026-08-14T16:50:19Z</dcterms:modified>
</cp:coreProperties>
</file>